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5A45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INSTRUCȚIUNI IMPORTANTE DE SIGURANȚĂ</w:t>
      </w:r>
    </w:p>
    <w:p w14:paraId="6C1F4891"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CITIȚI aceste instrucțiuni.</w:t>
      </w:r>
    </w:p>
    <w:p w14:paraId="072FD924"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PĂSTRAȚI aceste instrucțiuni.</w:t>
      </w:r>
    </w:p>
    <w:p w14:paraId="51A9F44C"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ATENȚIE la toate avertismentele.</w:t>
      </w:r>
    </w:p>
    <w:p w14:paraId="000DE69F"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URMAȚI toate instrucțiunile.</w:t>
      </w:r>
    </w:p>
    <w:p w14:paraId="30552187"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utilizați acest aparat în apropierea apei.</w:t>
      </w:r>
    </w:p>
    <w:p w14:paraId="4CF401A0"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CURĂȚAȚI NUMAI cu o cârpă uscată.</w:t>
      </w:r>
    </w:p>
    <w:p w14:paraId="47EF2679"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blocați nicio deschidere de ventilație. Lăsați distanțe suficiente pentru o ventilație adecvată și instalați conform instrucțiunilor producătorului.</w:t>
      </w:r>
    </w:p>
    <w:p w14:paraId="3CA3D782"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instalați în apropierea surselor de căldură, cum ar fi flăcări deschise, calorifere, registre de căldură, sobe sau alte aparate (inclusiv amplificatoare) care produc căldură. Nu așezați surse de flacără deschisă pe produs.</w:t>
      </w:r>
    </w:p>
    <w:p w14:paraId="748F711D"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anulați scopul de siguranță al ștecherului polarizat sau al celui cu împământare. Un ștecher polarizat are două lame, unul mai lat decât celălalt. Un ștecher cu împământare are două lame și un al treilea pin de împământare. Lama mai lată sau al treilea pin sunt furnizate pentru siguranța dumneavoastră. Dacă ștecherul furnizat nu se potrivește în priză, consultați un electrician pentru înlocuirea prizei uzate.</w:t>
      </w:r>
    </w:p>
    <w:p w14:paraId="3DF34C0A"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PROTEJAȚI cablul de alimentare împotriva călcării pe el sau a ciupirii, în special la nivelul ștecherelor, prizelor și în punctul în care acesta iese din aparat.</w:t>
      </w:r>
    </w:p>
    <w:p w14:paraId="39B8E1B1"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NUMAI atașamentele/accesoriile specificate de producător.</w:t>
      </w:r>
    </w:p>
    <w:p w14:paraId="04B716C6"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UTILIZAȚI numai cu un cărucior, stativ, trepied, suport sau masă specificate de producător sau vândute împreună cu aparatul. Când utilizați un cărucior, fiți precauți când mutați combinația cărucior/aparat pentru a evita accidentarea prin răsturnare.</w:t>
      </w:r>
    </w:p>
    <w:p w14:paraId="7EF16ABD" w14:textId="457AF0AA"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"https://pubs2-images.prod.shureweb.eu/proxy/graphics/f_34778701-1b55-4eb0-adbd-5839c69c9736-en-US.png"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4C484929" wp14:editId="4985DE8E">
            <wp:extent cx="914400" cy="914400"/>
            <wp:effectExtent l="0" t="0" r="0" b="0"/>
            <wp:docPr id="42567080" name="Picture 23" descr="Un cărucior cu un receptor deasupra care se răstoarnă peste o persoană. Imaginea este înconjurată de un cerc, traversat de o 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cărucior cu un receptor deasupra care se răstoarnă peste o persoană. Imaginea este înconjurată de un cerc, traversat de o lin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0E98D970"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DECONECTAȚI acest aparat în timpul furtunilor cu fulgere sau când nu este utilizat pentru perioade lungi de timp.</w:t>
      </w:r>
    </w:p>
    <w:p w14:paraId="18DA4C12"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Apelați la personal de service calificat pentru toate lucrările de service. Operațiunile de service sunt necesare atunci când aparatul a fost deteriorat în vreun fel, cum ar fi atunci când cablul de alimentare sau ștecherul este deteriorat, s-a vărsat lichid sau au căzut obiecte în aparat, aparatul a fost expus la ploaie sau umezeală, nu funcționează normal sau a fost scăpat.</w:t>
      </w:r>
    </w:p>
    <w:p w14:paraId="09A512BA"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NU expuneți aparatul la picături și stropire. NU așezați obiecte umplute cu lichide, cum ar fi vaze, pe aparat.</w:t>
      </w:r>
    </w:p>
    <w:p w14:paraId="1CCC284A"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Ștecherul de la rețea sau un cuplaj al aparatului trebuie să rămână ușor de utilizat.</w:t>
      </w:r>
    </w:p>
    <w:p w14:paraId="5F3253A1"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Zgomotul aerian al aparatului nu depășește 70 dB (A).</w:t>
      </w:r>
    </w:p>
    <w:p w14:paraId="28BF42E6"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Aparatele cu construcție CLASA I trebuie conectate la o priză de rețea cu o conexiune de împământare de protecție.</w:t>
      </w:r>
    </w:p>
    <w:p w14:paraId="4C762B40"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a reduce riscul de incendiu sau electrocutare, nu expuneți acest aparat la ploaie sau umezeală.</w:t>
      </w:r>
    </w:p>
    <w:p w14:paraId="6C660AD7"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încercați să modificați acest produs. Acest lucru ar putea duce la vătămări corporale și/sau la defectarea produsului.</w:t>
      </w:r>
    </w:p>
    <w:p w14:paraId="21BADD15" w14:textId="77777777" w:rsidR="00EF2922" w:rsidRPr="00EF2922" w:rsidRDefault="00EF2922" w:rsidP="00EF2922">
      <w:pPr>
        <w:numPr>
          <w:ilvl w:val="0"/>
          <w:numId w:val="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acest produs în intervalul de temperatură de funcționare specificat.</w:t>
      </w:r>
    </w:p>
    <w:p w14:paraId="18C0359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AVERTIZARE</w:t>
      </w:r>
    </w:p>
    <w:p w14:paraId="20D495D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ASCULTAREA AUDIO LA VOLUME EXCESIVE POATE CAUZA LEZIUNI PERMANENTE ALE AUZULUI. FOLOSIȚI UN VOLUM CÂT MAI MICI POSIBIL.</w:t>
      </w:r>
      <w:r w:rsidRPr="00EF2922">
        <w:rPr>
          <w:rFonts w:ascii="Arial" w:eastAsia="Times New Roman" w:hAnsi="Arial" w:cs="Arial"/>
          <w:color w:val="000000"/>
          <w:spacing w:val="2"/>
          <w:kern w:val="0"/>
          <w:bdr w:val="single" w:sz="2" w:space="0" w:color="auto" w:frame="1"/>
          <w:lang w:val="en-RO" w:eastAsia="en-GB"/>
          <w14:ligatures w14:val="none"/>
        </w:rPr>
        <w:t> Expunerea excesivă la niveluri excesive de sunet vă poate deteriora urechile, ducând la pierderea permanentă a auzului indusă de zgomot (NIHL). Vă rugăm să utilizați următoarele instrucțiuni stabilite de Administrația pentru Sănătate și Securitate în Muncă (OSHA) privind durata maximă de expunere la nivelurile de presiune sonoră înainte de apariția leziunilor auzului.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612"/>
        <w:gridCol w:w="1726"/>
        <w:gridCol w:w="2047"/>
        <w:gridCol w:w="2047"/>
      </w:tblGrid>
      <w:tr w:rsidR="00EF2922" w:rsidRPr="00EF2922" w14:paraId="3292089A"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685CEA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90 dB SPL</w:t>
            </w:r>
          </w:p>
          <w:p w14:paraId="265572D9"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8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723BFA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95 dB SPL</w:t>
            </w:r>
          </w:p>
          <w:p w14:paraId="717D4FAC"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4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F66750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100 dB SPL</w:t>
            </w:r>
          </w:p>
          <w:p w14:paraId="48A4EEB4"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2 ore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A6642C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105 dB SPL</w:t>
            </w:r>
          </w:p>
          <w:p w14:paraId="401CF93A"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1 oră</w:t>
            </w:r>
          </w:p>
        </w:tc>
      </w:tr>
      <w:tr w:rsidR="00EF2922" w:rsidRPr="00EF2922" w14:paraId="567D6D9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760D05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110 dB SPL</w:t>
            </w:r>
          </w:p>
          <w:p w14:paraId="48247B22"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o jumătate de oră</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A949AA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115 dB SPL</w:t>
            </w:r>
          </w:p>
          <w:p w14:paraId="71FE91B9"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la 15 minute</w:t>
            </w:r>
          </w:p>
        </w:tc>
        <w:tc>
          <w:tcPr>
            <w:tcW w:w="0" w:type="auto"/>
            <w:gridSpan w:val="2"/>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E294CD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b/>
                <w:bCs/>
                <w:spacing w:val="9"/>
                <w:kern w:val="0"/>
                <w:bdr w:val="single" w:sz="2" w:space="0" w:color="auto" w:frame="1"/>
                <w:lang w:val="en-RO" w:eastAsia="en-GB"/>
                <w14:ligatures w14:val="none"/>
              </w:rPr>
              <w:t>120 dB SPL</w:t>
            </w:r>
          </w:p>
          <w:p w14:paraId="217667EB" w14:textId="77777777" w:rsidR="00EF2922" w:rsidRPr="00EF2922" w:rsidRDefault="00EF2922" w:rsidP="00EF2922">
            <w:pPr>
              <w:pBdr>
                <w:top w:val="single" w:sz="2" w:space="0" w:color="auto"/>
                <w:left w:val="single" w:sz="2" w:space="2" w:color="auto"/>
                <w:bottom w:val="single" w:sz="2" w:space="0" w:color="auto"/>
                <w:right w:val="single" w:sz="2" w:space="0" w:color="auto"/>
              </w:pBdr>
              <w:spacing w:before="100" w:beforeAutospacing="1" w:after="45"/>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Evitați sau se pot produce daune</w:t>
            </w:r>
          </w:p>
        </w:tc>
      </w:tr>
    </w:tbl>
    <w:p w14:paraId="24E26E8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produs este destinat exclusiv uzului profesional. Acest produs trebuie vândut doar prin canale de vânzare profesionale.</w:t>
      </w:r>
    </w:p>
    <w:p w14:paraId="1DB6489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PRECAUȚII PRIVIND AUZUL</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3153"/>
        <w:gridCol w:w="5857"/>
      </w:tblGrid>
      <w:tr w:rsidR="00EF2922" w:rsidRPr="00EF2922" w14:paraId="138EA43E"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50BC11D" w14:textId="4A5A95C4"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lastRenderedPageBreak/>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"https://pubs2-images.prod.shureweb.eu/proxy/graphics/f_615c060a-5509-4e6c-9ae4-be590e503c8b-en-US.png"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0C2B914D" wp14:editId="6CDF3754">
                  <wp:extent cx="1811655" cy="1778000"/>
                  <wp:effectExtent l="0" t="0" r="0" b="0"/>
                  <wp:docPr id="14088031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1655" cy="17780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EFC63D4"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Pentru a preveni posibilele afectări ale auzului, nu ascultați la volum ridicat pentru perioade lungi de timp.</w:t>
            </w:r>
          </w:p>
        </w:tc>
      </w:tr>
    </w:tbl>
    <w:p w14:paraId="623FAB6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MĂSURI DE SIGURANȚĂ</w:t>
      </w:r>
    </w:p>
    <w:p w14:paraId="3F9F4FD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Posibilele rezultate ale utilizării incorecte sunt marcate prin unul dintre cele două simboluri — „AVERTISMENT” și „ATENȚIE” — în funcție de iminența pericolului și de gravitatea daunei.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700"/>
        <w:gridCol w:w="8310"/>
      </w:tblGrid>
      <w:tr w:rsidR="00EF2922" w:rsidRPr="00EF2922" w14:paraId="70F5B2C9"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DC667CF" w14:textId="4210D568"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"https://pubs2-images.prod.shureweb.eu/proxy/graphics/exclamation-symbol-indicates_small.png"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7E71DD8F" wp14:editId="26669C46">
                  <wp:extent cx="254000" cy="228600"/>
                  <wp:effectExtent l="0" t="0" r="0" b="0"/>
                  <wp:docPr id="8578280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F894A5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AVERTISMENT: Ignorarea acestor avertismente poate provoca vătămări corporale grave sau decesul ca urmare a utilizării incorecte.</w:t>
            </w:r>
          </w:p>
        </w:tc>
      </w:tr>
      <w:tr w:rsidR="00EF2922" w:rsidRPr="00EF2922" w14:paraId="6CFA043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CD8B84A" w14:textId="64FB939C"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"https://pubs2-images.prod.shureweb.eu/proxy/graphics/exclamation-symbol-indicates_small.png"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714DA5B1" wp14:editId="64E45390">
                  <wp:extent cx="254000" cy="228600"/>
                  <wp:effectExtent l="0" t="0" r="0" b="0"/>
                  <wp:docPr id="20019431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122BEA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ATENȚIE: Ignorarea acestor precauții poate provoca vătămări corporale moderate sau daune materiale ca urmare a utilizării incorecte.</w:t>
            </w:r>
          </w:p>
        </w:tc>
      </w:tr>
    </w:tbl>
    <w:p w14:paraId="4E804DC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AVERTIZARE</w:t>
      </w:r>
    </w:p>
    <w:p w14:paraId="2B34B41F" w14:textId="77777777" w:rsidR="00EF2922" w:rsidRPr="00EF2922" w:rsidRDefault="00EF2922" w:rsidP="00EF2922">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Dacă apa sau alte obiecte străine pătrund în interiorul dispozitivului, poate provoca incendiu sau electrocutare.</w:t>
      </w:r>
    </w:p>
    <w:p w14:paraId="1FEEC129" w14:textId="77777777" w:rsidR="00EF2922" w:rsidRPr="00EF2922" w:rsidRDefault="00EF2922" w:rsidP="00EF2922">
      <w:pPr>
        <w:numPr>
          <w:ilvl w:val="0"/>
          <w:numId w:val="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încercați să modificați acest produs. Acest lucru ar putea duce la vătămări corporale și/sau la defectarea produsului.</w:t>
      </w:r>
    </w:p>
    <w:p w14:paraId="257508B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AVERTISMENT:</w:t>
      </w:r>
      <w:r w:rsidRPr="00EF2922">
        <w:rPr>
          <w:rFonts w:ascii="Arial" w:eastAsia="Times New Roman" w:hAnsi="Arial" w:cs="Arial"/>
          <w:color w:val="000000"/>
          <w:spacing w:val="2"/>
          <w:kern w:val="0"/>
          <w:bdr w:val="single" w:sz="2" w:space="0" w:color="auto" w:frame="1"/>
          <w:lang w:val="en-RO" w:eastAsia="en-GB"/>
          <w14:ligatures w14:val="none"/>
        </w:rPr>
        <w:t> Bateriile nu trebuie expuse la căldură excesivă, cum ar fi lumina soarelui, focul sau altele asemenea.</w:t>
      </w:r>
    </w:p>
    <w:p w14:paraId="15DBADD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ATENŢIE</w:t>
      </w:r>
    </w:p>
    <w:p w14:paraId="27A80F42" w14:textId="77777777" w:rsidR="00EF2922" w:rsidRPr="00EF2922" w:rsidRDefault="00EF2922" w:rsidP="00EF2922">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dezasamblați și nu modificați niciodată dispozitivul, deoarece pot apărea defecțiuni.</w:t>
      </w:r>
    </w:p>
    <w:p w14:paraId="755E12C4" w14:textId="77777777" w:rsidR="00EF2922" w:rsidRPr="00EF2922" w:rsidRDefault="00EF2922" w:rsidP="00EF2922">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supuneți la forță extremă și nu trageți de cablu, deoarece pot apărea defecțiuni.</w:t>
      </w:r>
    </w:p>
    <w:p w14:paraId="3502E775" w14:textId="77777777" w:rsidR="00EF2922" w:rsidRPr="00EF2922" w:rsidRDefault="00EF2922" w:rsidP="00EF2922">
      <w:pPr>
        <w:numPr>
          <w:ilvl w:val="0"/>
          <w:numId w:val="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Păstrați produsul uscat și evitați expunerea la temperaturi extreme și umiditate.</w:t>
      </w:r>
    </w:p>
    <w:p w14:paraId="4B764FE4"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lastRenderedPageBreak/>
        <w:t>Descriere generală</w:t>
      </w:r>
    </w:p>
    <w:p w14:paraId="14E3B63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Sistemul de monitorizare personală wireless Shure PSM®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900</w:t>
      </w:r>
      <w:r w:rsidRPr="00EF2922">
        <w:rPr>
          <w:rFonts w:ascii="Arial" w:eastAsia="Times New Roman" w:hAnsi="Arial" w:cs="Arial"/>
          <w:color w:val="000000"/>
          <w:spacing w:val="2"/>
          <w:kern w:val="0"/>
          <w:bdr w:val="single" w:sz="2" w:space="0" w:color="auto" w:frame="1"/>
          <w:lang w:val="en-RO" w:eastAsia="en-GB"/>
          <w14:ligatures w14:val="none"/>
        </w:rPr>
        <w:t> oferă o combinație fără precedent de calitate audio superbă, performanță RF robustă și funcții de vârf în categorie pentru cele mai exigente aplicații profesionale. Tehnologia patentată de compasare audio de referință și tehnologia avansată de procesare digitală a semnalului oferă o separare stereo excelentă și o claritate audio excelentă. Linearitatea excepțională a transmițătorului reduce considerabil intermodulația de frecvență, permițând utilizarea mai multor canale pe bandă de frecvență. Tehnologia patentată CueMode permite inginerului de sunet să monitorizeze diferite mixaje de scenă prin simpla apăsare a unui buton.</w:t>
      </w:r>
    </w:p>
    <w:p w14:paraId="7ED34F3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Caracteristici</w:t>
      </w:r>
    </w:p>
    <w:p w14:paraId="0B94253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Calitate audio de neegalat</w:t>
      </w:r>
    </w:p>
    <w:p w14:paraId="4D647616" w14:textId="77777777" w:rsidR="00EF2922" w:rsidRPr="00EF2922" w:rsidRDefault="00EF2922" w:rsidP="00EF2922">
      <w:pPr>
        <w:numPr>
          <w:ilvl w:val="0"/>
          <w:numId w:val="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Receptoarele bodypack cu tehnologie avansată de procesare digitală a semnalului oferă mai mult headroom, o separare stereo îmbunătățită și o fidelitate audio mai mare.</w:t>
      </w:r>
    </w:p>
    <w:p w14:paraId="2213124B" w14:textId="77777777" w:rsidR="00EF2922" w:rsidRPr="00EF2922" w:rsidRDefault="00EF2922" w:rsidP="00EF2922">
      <w:pPr>
        <w:numPr>
          <w:ilvl w:val="0"/>
          <w:numId w:val="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Tehnologia patentată de companning audio de referință oferă un sunet natural și transparent.</w:t>
      </w:r>
    </w:p>
    <w:p w14:paraId="50B19B17" w14:textId="77777777" w:rsidR="00EF2922" w:rsidRPr="00EF2922" w:rsidRDefault="00EF2922" w:rsidP="00EF2922">
      <w:pPr>
        <w:numPr>
          <w:ilvl w:val="0"/>
          <w:numId w:val="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Disponibil cu căștile Shure SE425 Sound Isolating™ cu microdrivere duale de înaltă definiție pentru un răspuns audio precis și echilibrat.</w:t>
      </w:r>
    </w:p>
    <w:p w14:paraId="4897A50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Performanță RF robustă</w:t>
      </w:r>
    </w:p>
    <w:p w14:paraId="7CA22DE4" w14:textId="77777777" w:rsidR="00EF2922" w:rsidRPr="00EF2922" w:rsidRDefault="00EF2922" w:rsidP="00EF2922">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Receptoarele bodypack P9RA+ oferă o recepție și o rază de acțiune îmbunătățite ale semnalului.</w:t>
      </w:r>
    </w:p>
    <w:p w14:paraId="74C780CE" w14:textId="77777777" w:rsidR="00EF2922" w:rsidRPr="00EF2922" w:rsidRDefault="00EF2922" w:rsidP="00EF2922">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Filtrarea RF frontală de precizie reduce semnificativ interferențele RF pentru un semnal RF mai curat și mai puternic, mai puține întreruperi și mai puține artefacte audibile.</w:t>
      </w:r>
    </w:p>
    <w:p w14:paraId="24A55E24" w14:textId="77777777" w:rsidR="00EF2922" w:rsidRPr="00EF2922" w:rsidRDefault="00EF2922" w:rsidP="00EF2922">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Linearitatea excepțională a transmițătorului reduce considerabil intermodulația de frecvență și permite compatibilitatea a până la 20 de canale pe interval de frecvență.</w:t>
      </w:r>
    </w:p>
    <w:p w14:paraId="771955EE" w14:textId="77777777" w:rsidR="00EF2922" w:rsidRPr="00EF2922" w:rsidRDefault="00EF2922" w:rsidP="00EF2922">
      <w:pPr>
        <w:numPr>
          <w:ilvl w:val="0"/>
          <w:numId w:val="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Controlul automat al amplificării RF previne distorsiunea semnalului cauzată de supraîncărcarea RF înainte ca aceasta să afecteze performanța.</w:t>
      </w:r>
    </w:p>
    <w:p w14:paraId="220276E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Caracteristici de configurare și operare de top în categoria sa</w:t>
      </w:r>
    </w:p>
    <w:p w14:paraId="53988E41" w14:textId="77777777" w:rsidR="00EF2922" w:rsidRPr="00EF2922" w:rsidRDefault="00EF2922" w:rsidP="00EF2922">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CueMode permite monitorizarea diferitelor mixaje de scenă și stocarea a până la 20 de canale separate pe un singur bodypack pentru o consultare rapidă și ușoară.</w:t>
      </w:r>
    </w:p>
    <w:p w14:paraId="1E9623A4" w14:textId="77777777" w:rsidR="00EF2922" w:rsidRPr="00EF2922" w:rsidRDefault="00EF2922" w:rsidP="00EF2922">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Comutatorul de dezactivare a sunetului RF de pe panoul frontal activează sau dezactivează transmisia RF în timpul configurării.</w:t>
      </w:r>
    </w:p>
    <w:p w14:paraId="00E1FDC2" w14:textId="77777777" w:rsidR="00EF2922" w:rsidRPr="00EF2922" w:rsidRDefault="00EF2922" w:rsidP="00EF2922">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Funcția Scanare și Sincronizare scanează mediul RF cu ajutorul căștii bodypack și atribuie un grup și un canal identificat sistemului dumneavoastră prin legătură IR wireless.</w:t>
      </w:r>
    </w:p>
    <w:p w14:paraId="78D0B146" w14:textId="77777777" w:rsidR="00EF2922" w:rsidRPr="00EF2922" w:rsidRDefault="00EF2922" w:rsidP="00EF2922">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Tehnologia MixMode® permite utilizatorului de căști bodypack să combine două canale audio separate pentru ascultare simultană în ambele urechi sau poate transmite două fluxuri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de</w:t>
      </w:r>
      <w:r w:rsidRPr="00EF2922">
        <w:rPr>
          <w:rFonts w:ascii="Arial" w:eastAsia="Times New Roman" w:hAnsi="Arial" w:cs="Arial"/>
          <w:color w:val="000000"/>
          <w:spacing w:val="2"/>
          <w:kern w:val="0"/>
          <w:bdr w:val="single" w:sz="2" w:space="0" w:color="auto" w:frame="1"/>
          <w:lang w:val="en-RO" w:eastAsia="en-GB"/>
          <w14:ligatures w14:val="none"/>
        </w:rPr>
        <w:t> programe IFB independente. Controlul balansului de pe căștile bodypack ajustează nivelurile relative pentru fiecare semnal audio.</w:t>
      </w:r>
    </w:p>
    <w:p w14:paraId="792DB44D" w14:textId="77777777" w:rsidR="00EF2922" w:rsidRPr="00EF2922" w:rsidRDefault="00EF2922" w:rsidP="00EF2922">
      <w:pPr>
        <w:numPr>
          <w:ilvl w:val="0"/>
          <w:numId w:val="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Egalizatorul parametric pe patru benzi oferă utilizatorului opțiunea de a ajusta frecvențele pentru un sunet complet personalizat.</w:t>
      </w:r>
    </w:p>
    <w:p w14:paraId="696AEC8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Opțiuni avansate de reîncărcare</w:t>
      </w:r>
    </w:p>
    <w:p w14:paraId="4600C8F1" w14:textId="77777777" w:rsidR="00EF2922" w:rsidRPr="00EF2922" w:rsidRDefault="00EF2922" w:rsidP="00EF2922">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Bateria reîncărcabilă litiu-ion SB900B oferă durate de utilizare extinse și urmărirea precisă a duratei de viață rămase și a detaliilor ciclului de încărcare.</w:t>
      </w:r>
    </w:p>
    <w:p w14:paraId="27298D7C" w14:textId="77777777" w:rsidR="00EF2922" w:rsidRPr="00EF2922" w:rsidRDefault="00EF2922" w:rsidP="00EF2922">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Încărcătorul SCB800-US cu opt compartimente încarcă complet până la opt baterii SB900B în două ore și are LED-uri de stare a încărcării pentru fiecare baterie.</w:t>
      </w:r>
    </w:p>
    <w:p w14:paraId="00258FEA" w14:textId="77777777" w:rsidR="00EF2922" w:rsidRPr="00EF2922" w:rsidRDefault="00EF2922" w:rsidP="00EF2922">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Încărcătorul cu dublă andocare SBC200 funcționează cu sistemele wireless digitale SB900B, P3RA, P9RA+, P10R+, QLX-D®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și</w:t>
      </w:r>
      <w:r w:rsidRPr="00EF2922">
        <w:rPr>
          <w:rFonts w:ascii="Arial" w:eastAsia="Times New Roman" w:hAnsi="Arial" w:cs="Arial"/>
          <w:color w:val="000000"/>
          <w:spacing w:val="2"/>
          <w:kern w:val="0"/>
          <w:bdr w:val="single" w:sz="2" w:space="0" w:color="auto" w:frame="1"/>
          <w:lang w:val="en-RO" w:eastAsia="en-GB"/>
          <w14:ligatures w14:val="none"/>
        </w:rPr>
        <w:t> ULX-D®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w:t>
      </w:r>
      <w:r w:rsidRPr="00EF2922">
        <w:rPr>
          <w:rFonts w:ascii="Arial" w:eastAsia="Times New Roman" w:hAnsi="Arial" w:cs="Arial"/>
          <w:color w:val="000000"/>
          <w:spacing w:val="2"/>
          <w:kern w:val="0"/>
          <w:bdr w:val="single" w:sz="2" w:space="0" w:color="auto" w:frame="1"/>
          <w:lang w:val="en-RO" w:eastAsia="en-GB"/>
          <w14:ligatures w14:val="none"/>
        </w:rPr>
        <w:t> disponibile cu și fără sursă de alimentare.</w:t>
      </w:r>
    </w:p>
    <w:p w14:paraId="3C0EAA86" w14:textId="77777777" w:rsidR="00EF2922" w:rsidRPr="00EF2922" w:rsidRDefault="00EF2922" w:rsidP="00EF2922">
      <w:pPr>
        <w:numPr>
          <w:ilvl w:val="0"/>
          <w:numId w:val="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Încărcătorul cu andocare dublă în rețea SBC220 funcționează cu SB900B, PSM 300 (doar P3RA), PSM 900 (doar P9RA+), PSM 1000 (doar P10R+), sistemele wireless digitale QLX-D, sistemele wireless digitale ULX-D și Axient®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Digital</w:t>
      </w:r>
      <w:r w:rsidRPr="00EF2922">
        <w:rPr>
          <w:rFonts w:ascii="Arial" w:eastAsia="Times New Roman" w:hAnsi="Arial" w:cs="Arial"/>
          <w:color w:val="000000"/>
          <w:spacing w:val="2"/>
          <w:kern w:val="0"/>
          <w:bdr w:val="single" w:sz="2" w:space="0" w:color="auto" w:frame="1"/>
          <w:lang w:val="en-RO" w:eastAsia="en-GB"/>
          <w14:ligatures w14:val="none"/>
        </w:rPr>
        <w:t> (doar AD1 și AD2), disponibile cu și fără alimentare. Când SBC220 este conectat la o rețea, informațiile despre baterie pentru fiecare transmițător pot fi vizualizate de la distanță.</w:t>
      </w:r>
    </w:p>
    <w:p w14:paraId="19B0981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Componente</w:t>
      </w:r>
    </w:p>
    <w:p w14:paraId="26C7A889" w14:textId="77777777" w:rsidR="00EF2922" w:rsidRPr="00EF2922" w:rsidRDefault="00EF2922" w:rsidP="00EF2922">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P9T:</w:t>
      </w:r>
      <w:r w:rsidRPr="00EF2922">
        <w:rPr>
          <w:rFonts w:ascii="Arial" w:eastAsia="Times New Roman" w:hAnsi="Arial" w:cs="Arial"/>
          <w:color w:val="000000"/>
          <w:spacing w:val="2"/>
          <w:kern w:val="0"/>
          <w:bdr w:val="single" w:sz="2" w:space="0" w:color="auto" w:frame="1"/>
          <w:lang w:val="en-RO" w:eastAsia="en-GB"/>
          <w14:ligatures w14:val="none"/>
        </w:rPr>
        <w:t> Transmițător pentru unitate rack</w:t>
      </w:r>
    </w:p>
    <w:p w14:paraId="5499651D" w14:textId="77777777" w:rsidR="00EF2922" w:rsidRPr="00EF2922" w:rsidRDefault="00EF2922" w:rsidP="00EF2922">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P9RA+:</w:t>
      </w:r>
      <w:r w:rsidRPr="00EF2922">
        <w:rPr>
          <w:rFonts w:ascii="Arial" w:eastAsia="Times New Roman" w:hAnsi="Arial" w:cs="Arial"/>
          <w:color w:val="000000"/>
          <w:spacing w:val="2"/>
          <w:kern w:val="0"/>
          <w:bdr w:val="single" w:sz="2" w:space="0" w:color="auto" w:frame="1"/>
          <w:lang w:val="en-RO" w:eastAsia="en-GB"/>
          <w14:ligatures w14:val="none"/>
        </w:rPr>
        <w:t> Receptor Bodypack</w:t>
      </w:r>
    </w:p>
    <w:p w14:paraId="1BC8DF1B" w14:textId="77777777" w:rsidR="00EF2922" w:rsidRPr="00EF2922" w:rsidRDefault="00EF2922" w:rsidP="00EF2922">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PS43:</w:t>
      </w:r>
      <w:r w:rsidRPr="00EF2922">
        <w:rPr>
          <w:rFonts w:ascii="Arial" w:eastAsia="Times New Roman" w:hAnsi="Arial" w:cs="Arial"/>
          <w:color w:val="000000"/>
          <w:spacing w:val="2"/>
          <w:kern w:val="0"/>
          <w:bdr w:val="single" w:sz="2" w:space="0" w:color="auto" w:frame="1"/>
          <w:lang w:val="en-RO" w:eastAsia="en-GB"/>
          <w14:ligatures w14:val="none"/>
        </w:rPr>
        <w:t> Sursă de alimentare</w:t>
      </w:r>
    </w:p>
    <w:p w14:paraId="0423D2EC" w14:textId="77777777" w:rsidR="00EF2922" w:rsidRPr="00EF2922" w:rsidRDefault="00EF2922" w:rsidP="00EF2922">
      <w:pPr>
        <w:numPr>
          <w:ilvl w:val="0"/>
          <w:numId w:val="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Bare de protecție cu 8 șuruburi</w:t>
      </w:r>
    </w:p>
    <w:p w14:paraId="6D5F5F7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Consumabile pentru montare în rack</w:t>
      </w:r>
    </w:p>
    <w:p w14:paraId="7EDED0E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①</w:t>
      </w:r>
      <w:r w:rsidRPr="00EF2922">
        <w:rPr>
          <w:rFonts w:ascii="Arial" w:eastAsia="Times New Roman" w:hAnsi="Arial" w:cs="Arial"/>
          <w:color w:val="000000"/>
          <w:spacing w:val="2"/>
          <w:kern w:val="0"/>
          <w:bdr w:val="single" w:sz="2" w:space="0" w:color="auto" w:frame="1"/>
          <w:lang w:val="en-RO" w:eastAsia="en-GB"/>
          <w14:ligatures w14:val="none"/>
        </w:rPr>
        <w:t xml:space="preserve"> Ureche scurtă de tip rack</w:t>
      </w:r>
    </w:p>
    <w:p w14:paraId="45019C1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②</w:t>
      </w:r>
      <w:r w:rsidRPr="00EF2922">
        <w:rPr>
          <w:rFonts w:ascii="Arial" w:eastAsia="Times New Roman" w:hAnsi="Arial" w:cs="Arial"/>
          <w:color w:val="000000"/>
          <w:spacing w:val="2"/>
          <w:kern w:val="0"/>
          <w:bdr w:val="single" w:sz="2" w:space="0" w:color="auto" w:frame="1"/>
          <w:lang w:val="en-RO" w:eastAsia="en-GB"/>
          <w14:ligatures w14:val="none"/>
        </w:rPr>
        <w:t xml:space="preserve"> Ureche lungă de tip rack</w:t>
      </w:r>
    </w:p>
    <w:p w14:paraId="69CEEF2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③</w:t>
      </w:r>
      <w:r w:rsidRPr="00EF2922">
        <w:rPr>
          <w:rFonts w:ascii="Arial" w:eastAsia="Times New Roman" w:hAnsi="Arial" w:cs="Arial"/>
          <w:color w:val="000000"/>
          <w:spacing w:val="2"/>
          <w:kern w:val="0"/>
          <w:bdr w:val="single" w:sz="2" w:space="0" w:color="auto" w:frame="1"/>
          <w:lang w:val="en-RO" w:eastAsia="en-GB"/>
          <w14:ligatures w14:val="none"/>
        </w:rPr>
        <w:t xml:space="preserve"> Bară de legătură pentru montare pe o unitate rack similară</w:t>
      </w:r>
    </w:p>
    <w:p w14:paraId="42B9BD9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lastRenderedPageBreak/>
        <w:t>④</w:t>
      </w:r>
      <w:r w:rsidRPr="00EF2922">
        <w:rPr>
          <w:rFonts w:ascii="Arial" w:eastAsia="Times New Roman" w:hAnsi="Arial" w:cs="Arial"/>
          <w:color w:val="000000"/>
          <w:spacing w:val="2"/>
          <w:kern w:val="0"/>
          <w:bdr w:val="single" w:sz="2" w:space="0" w:color="auto" w:frame="1"/>
          <w:lang w:val="en-RO" w:eastAsia="en-GB"/>
          <w14:ligatures w14:val="none"/>
        </w:rPr>
        <w:t xml:space="preserve"> 2 dopuri pentru orificiul antenei</w:t>
      </w:r>
    </w:p>
    <w:p w14:paraId="6AAAADC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⑤</w:t>
      </w:r>
      <w:r w:rsidRPr="00EF2922">
        <w:rPr>
          <w:rFonts w:ascii="Arial" w:eastAsia="Times New Roman" w:hAnsi="Arial" w:cs="Arial"/>
          <w:color w:val="000000"/>
          <w:spacing w:val="2"/>
          <w:kern w:val="0"/>
          <w:bdr w:val="single" w:sz="2" w:space="0" w:color="auto" w:frame="1"/>
          <w:lang w:val="en-RO" w:eastAsia="en-GB"/>
          <w14:ligatures w14:val="none"/>
        </w:rPr>
        <w:t xml:space="preserve"> 8 șuruburi cu ureche pentru cremalieră</w:t>
      </w:r>
    </w:p>
    <w:p w14:paraId="30D8C0E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⑥</w:t>
      </w:r>
      <w:r w:rsidRPr="00EF2922">
        <w:rPr>
          <w:rFonts w:ascii="Arial" w:eastAsia="Times New Roman" w:hAnsi="Arial" w:cs="Arial"/>
          <w:color w:val="000000"/>
          <w:spacing w:val="2"/>
          <w:kern w:val="0"/>
          <w:bdr w:val="single" w:sz="2" w:space="0" w:color="auto" w:frame="1"/>
          <w:lang w:val="en-RO" w:eastAsia="en-GB"/>
          <w14:ligatures w14:val="none"/>
        </w:rPr>
        <w:t xml:space="preserve"> 4 șuruburi de montare pe rack cu șaibe</w:t>
      </w:r>
    </w:p>
    <w:p w14:paraId="066CEDB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⑦</w:t>
      </w:r>
      <w:r w:rsidRPr="00EF2922">
        <w:rPr>
          <w:rFonts w:ascii="Arial" w:eastAsia="Times New Roman" w:hAnsi="Arial" w:cs="Arial"/>
          <w:color w:val="000000"/>
          <w:spacing w:val="2"/>
          <w:kern w:val="0"/>
          <w:bdr w:val="single" w:sz="2" w:space="0" w:color="auto" w:frame="1"/>
          <w:lang w:val="en-RO" w:eastAsia="en-GB"/>
          <w14:ligatures w14:val="none"/>
        </w:rPr>
        <w:t xml:space="preserve"> Cabluri prelungitoare și conectori pentru antene cu montare frontală</w:t>
      </w:r>
    </w:p>
    <w:p w14:paraId="1BE8DEED" w14:textId="514AF35B"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"https://pubs2-images.prod.shureweb.eu/proxy/graphics/f_333df72e-38e0-4b5e-8981-d9de4fc0f34c-en-US.png"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4ADA62F9" wp14:editId="24CC6BA9">
            <wp:extent cx="4724400" cy="4445000"/>
            <wp:effectExtent l="0" t="0" r="0" b="0"/>
            <wp:docPr id="12787754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44450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4FBCE23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Instrucțiuni de pornire rapidă</w:t>
      </w:r>
    </w:p>
    <w:p w14:paraId="1C3F5A0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Transmițător montat în rack</w:t>
      </w:r>
    </w:p>
    <w:p w14:paraId="456EB183" w14:textId="77777777" w:rsidR="00EF2922" w:rsidRPr="00EF2922" w:rsidRDefault="00EF2922" w:rsidP="00EF2922">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Conectați la o priză de alimentare folosind adaptorul de alimentare furnizat.</w:t>
      </w:r>
    </w:p>
    <w:p w14:paraId="429CD40B" w14:textId="77777777" w:rsidR="00EF2922" w:rsidRPr="00EF2922" w:rsidRDefault="00EF2922" w:rsidP="00EF2922">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Atașați antenele furnizate la conectorii BNC de ieșire a antenei .</w:t>
      </w:r>
    </w:p>
    <w:p w14:paraId="157F8197" w14:textId="77777777" w:rsidR="00EF2922" w:rsidRPr="00EF2922" w:rsidRDefault="00EF2922" w:rsidP="00EF2922">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Conectați sursa audio, cum ar fi ieșirea unui mixer, la intrările audio. Puteți utiliza ambele mufe de intrare sau puteți alege oricare dintre ele pentru o sursă mono.</w:t>
      </w:r>
    </w:p>
    <w:p w14:paraId="579B3E4B" w14:textId="77777777" w:rsidR="00EF2922" w:rsidRPr="00EF2922" w:rsidRDefault="00EF2922" w:rsidP="00EF2922">
      <w:pPr>
        <w:numPr>
          <w:ilvl w:val="1"/>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264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mono (o intrare), accesați meniul Audio și selectați Mono .</w:t>
      </w:r>
    </w:p>
    <w:p w14:paraId="79B1A52D" w14:textId="77777777" w:rsidR="00EF2922" w:rsidRPr="00EF2922" w:rsidRDefault="00EF2922" w:rsidP="00EF2922">
      <w:pPr>
        <w:numPr>
          <w:ilvl w:val="1"/>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45"/>
        <w:ind w:left="264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Setați sensibilitatea de intrare pentru a se potrivi cu sursa selectând  INTRARE AUDIO</w:t>
      </w:r>
      <w:r w:rsidRPr="00EF2922">
        <w:rPr>
          <w:rFonts w:ascii="Arial" w:eastAsia="Times New Roman" w:hAnsi="Arial" w:cs="Arial"/>
          <w:color w:val="000000"/>
          <w:spacing w:val="2"/>
          <w:kern w:val="0"/>
          <w:lang w:val="en-RO" w:eastAsia="en-GB"/>
          <w14:ligatures w14:val="none"/>
        </w:rPr>
        <w:t> </w:t>
      </w:r>
      <w:r w:rsidRPr="00EF2922">
        <w:rPr>
          <w:rFonts w:ascii="Arial" w:eastAsia="Times New Roman" w:hAnsi="Arial" w:cs="Arial"/>
          <w:color w:val="000000"/>
          <w:spacing w:val="2"/>
          <w:kern w:val="0"/>
          <w:bdr w:val="single" w:sz="2" w:space="0" w:color="auto" w:frame="1"/>
          <w:lang w:val="en-RO" w:eastAsia="en-GB"/>
          <w14:ligatures w14:val="none"/>
        </w:rPr>
        <w:t>din meniul de configurare LCD: Aux (-10dBV) sau Line (+4dBu) .</w:t>
      </w:r>
    </w:p>
    <w:p w14:paraId="2F1A98B3" w14:textId="77777777" w:rsidR="00EF2922" w:rsidRPr="00EF2922" w:rsidRDefault="00EF2922" w:rsidP="00EF2922">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Asigurați-vă că comutatorul RF este pe poziția OPRIT. Porniți alimentarea.</w:t>
      </w:r>
    </w:p>
    <w:p w14:paraId="2A60CD57" w14:textId="77777777" w:rsidR="00EF2922" w:rsidRPr="00EF2922" w:rsidRDefault="00EF2922" w:rsidP="00EF2922">
      <w:pPr>
        <w:numPr>
          <w:ilvl w:val="0"/>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Reglați nivelul sursei audio astfel încât, pentru nivelul mediu al semnalului de intrare, primele două LED-uri galbene să pâlpâie, iar LED-urile inferioare să fie aprinse continuu.</w:t>
      </w:r>
    </w:p>
    <w:p w14:paraId="5EB252ED" w14:textId="77777777" w:rsidR="00EF2922" w:rsidRPr="00EF2922" w:rsidRDefault="00EF2922" w:rsidP="00EF2922">
      <w:pPr>
        <w:numPr>
          <w:ilvl w:val="1"/>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264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Dacă LED-ul roșu de clip se aprinde, intrările sunt suprasolicitate. Reduceți nivelul folosind butoanele ▼▲ sau modificați sensibilitatea intrării la +4 dBu .</w:t>
      </w:r>
    </w:p>
    <w:p w14:paraId="7A244382" w14:textId="77777777" w:rsidR="00EF2922" w:rsidRPr="00EF2922" w:rsidRDefault="00EF2922" w:rsidP="00EF2922">
      <w:pPr>
        <w:numPr>
          <w:ilvl w:val="1"/>
          <w:numId w:val="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264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Dacă nivelul semnalului este prea scăzut, modificați sensibilitatea de intrare la –10 dBV</w:t>
      </w:r>
    </w:p>
    <w:p w14:paraId="5C3EC444" w14:textId="5B3EED46"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"https://pubs2-images.prod.shureweb.eu/proxy/graphics/fig_rkz_mcw_msb-en-US.png"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3713C50C" wp14:editId="2B51317D">
            <wp:extent cx="3810000" cy="3886200"/>
            <wp:effectExtent l="0" t="0" r="0" b="0"/>
            <wp:docPr id="3421300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0" cy="38862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6EFC501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Bodypack</w:t>
      </w:r>
    </w:p>
    <w:p w14:paraId="6098CDE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Introduceți bateriile și atașați antena. Porniți folosind butonul de volum. Indicatorul luminos al bateriei se aprinde.</w:t>
      </w:r>
    </w:p>
    <w:p w14:paraId="6120116D" w14:textId="2AB9F1DF"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lastRenderedPageBreak/>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"https://pubs2-images.prod.shureweb.eu/proxy/graphics/fig_cn4_ztv_msb-en-US.png"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0C7B27FE" wp14:editId="78B74EA6">
            <wp:extent cx="3810000" cy="2599055"/>
            <wp:effectExtent l="0" t="0" r="0" b="4445"/>
            <wp:docPr id="9470291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0" cy="2599055"/>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26495BC4"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Instalarea antenelor Bodypack</w:t>
      </w:r>
    </w:p>
    <w:p w14:paraId="6752278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Strângeți antenele manual până când sunt fixate. Nu folosiți unelte.</w:t>
      </w:r>
    </w:p>
    <w:p w14:paraId="55C317CB"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Scanare și sincronizare</w:t>
      </w:r>
    </w:p>
    <w:p w14:paraId="3874B7F7" w14:textId="77777777" w:rsidR="00EF2922" w:rsidRPr="00EF2922" w:rsidRDefault="00EF2922" w:rsidP="00EF2922">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 dispozitivul de bodypack, apăsați butonul de scanare . Pe ecran clipește SYNC ACUM... ( SINCRONIZARE ACUM... ).</w:t>
      </w:r>
    </w:p>
    <w:p w14:paraId="70C243D0" w14:textId="77777777" w:rsidR="00EF2922" w:rsidRPr="00EF2922" w:rsidRDefault="00EF2922" w:rsidP="00EF2922">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Aliniați ferestrele IR de pe bodypack și unitatea rack și apăsați butonul de sincronizare . LED-urile de nivel ale unității rack clipesc și se afișează mesajul SYNC SUCCESS (SINCRONIZARE REUȘITĂ) .</w:t>
      </w:r>
    </w:p>
    <w:p w14:paraId="67B06E88" w14:textId="77777777" w:rsidR="00EF2922" w:rsidRPr="00EF2922" w:rsidRDefault="00EF2922" w:rsidP="00EF2922">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Porniți comutatorul RF. LED-ul albastru RF se aprinde pe dispozitivul de bodypack pentru a indica faptul că acesta detectează transmițătorul. De asemenea, dispozitivul de bodypack afișează puterea semnalului RF (RF).</w:t>
      </w:r>
    </w:p>
    <w:p w14:paraId="768D4DDD" w14:textId="77777777" w:rsidR="00EF2922" w:rsidRPr="00EF2922" w:rsidRDefault="00EF2922" w:rsidP="00EF2922">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Important:</w:t>
      </w:r>
      <w:r w:rsidRPr="00EF2922">
        <w:rPr>
          <w:rFonts w:ascii="Arial" w:eastAsia="Times New Roman" w:hAnsi="Arial" w:cs="Arial"/>
          <w:color w:val="000000"/>
          <w:spacing w:val="2"/>
          <w:kern w:val="0"/>
          <w:bdr w:val="single" w:sz="2" w:space="0" w:color="auto" w:frame="1"/>
          <w:lang w:val="en-RO" w:eastAsia="en-GB"/>
          <w14:ligatures w14:val="none"/>
        </w:rPr>
        <w:t> Reduceți volumul bodypack-ului înainte de a conecta căștile.</w:t>
      </w:r>
    </w:p>
    <w:p w14:paraId="25F11E28" w14:textId="77777777" w:rsidR="00EF2922" w:rsidRPr="00EF2922" w:rsidRDefault="00EF2922" w:rsidP="00EF2922">
      <w:pPr>
        <w:numPr>
          <w:ilvl w:val="0"/>
          <w:numId w:val="1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Introduceți căștile și măriți încet volumul.</w:t>
      </w:r>
    </w:p>
    <w:p w14:paraId="2E1EBC93" w14:textId="4C139C6A"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lastRenderedPageBreak/>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"https://pubs2-images.prod.shureweb.eu/proxy/graphics/fig_ghj_svv_msb-en-US.png"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6BB9EB73" wp14:editId="2AAAE246">
            <wp:extent cx="3810000" cy="5986145"/>
            <wp:effectExtent l="0" t="0" r="0" b="0"/>
            <wp:docPr id="1464894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0" cy="5986145"/>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6C35174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Transmițător unitate rack</w:t>
      </w:r>
    </w:p>
    <w:p w14:paraId="4BCB3B1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Comenzi de pe panoul frontal</w:t>
      </w:r>
    </w:p>
    <w:p w14:paraId="4EA6A6AA" w14:textId="74196142"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lastRenderedPageBreak/>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"https://pubs2-images.prod.shureweb.eu/proxy/graphics/f_5cf76b0b-9c7c-4a70-92f6-ef806b01a6e5-en-US.png"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568A931C" wp14:editId="1276D6C1">
            <wp:extent cx="4648200" cy="1718945"/>
            <wp:effectExtent l="0" t="0" r="0" b="0"/>
            <wp:docPr id="2633542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8200" cy="1718945"/>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6A54A24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①</w:t>
      </w:r>
      <w:r w:rsidRPr="00EF2922">
        <w:rPr>
          <w:rFonts w:ascii="Arial" w:eastAsia="Times New Roman" w:hAnsi="Arial" w:cs="Arial"/>
          <w:color w:val="000000"/>
          <w:spacing w:val="2"/>
          <w:kern w:val="0"/>
          <w:bdr w:val="single" w:sz="2" w:space="0" w:color="auto" w:frame="1"/>
          <w:lang w:val="en-RO" w:eastAsia="en-GB"/>
          <w14:ligatures w14:val="none"/>
        </w:rPr>
        <w:t xml:space="preserve"> Controlul și afișarea nivelului de intrare</w:t>
      </w:r>
    </w:p>
    <w:p w14:paraId="4BE21B1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butoanele ▼▲ pentru a regla sunetul astfel încât, pentru nivelul mediu al semnalului de intrare, primele două LED-uri galbene să pâlpâie, iar LED-urile inferioare să fie aprinse continuu. LED-ul roșu de clip indică faptul că intrările sunt suprasolicitate. Reduceți nivelul la sursa audio sau modificați sensibilitatea de intrare a unității rack din meniul </w:t>
      </w:r>
      <w:r w:rsidRPr="00EF2922">
        <w:rPr>
          <w:rFonts w:ascii="Menlo" w:eastAsia="Times New Roman" w:hAnsi="Menlo" w:cs="Menlo"/>
          <w:color w:val="000000"/>
          <w:spacing w:val="2"/>
          <w:kern w:val="0"/>
          <w:bdr w:val="single" w:sz="2" w:space="0" w:color="auto" w:frame="1"/>
          <w:lang w:val="en-RO" w:eastAsia="en-GB"/>
          <w14:ligatures w14:val="none"/>
        </w:rPr>
        <w:t>AUDIO</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INPUT</w:t>
      </w:r>
      <w:r w:rsidRPr="00EF2922">
        <w:rPr>
          <w:rFonts w:ascii="Arial" w:eastAsia="Times New Roman" w:hAnsi="Arial" w:cs="Arial"/>
          <w:color w:val="000000"/>
          <w:spacing w:val="2"/>
          <w:kern w:val="0"/>
          <w:bdr w:val="single" w:sz="2" w:space="0" w:color="auto" w:frame="1"/>
          <w:lang w:val="en-RO" w:eastAsia="en-GB"/>
          <w14:ligatures w14:val="none"/>
        </w:rPr>
        <w:t> .</w:t>
      </w:r>
    </w:p>
    <w:p w14:paraId="3C361C0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②</w:t>
      </w:r>
      <w:r w:rsidRPr="00EF2922">
        <w:rPr>
          <w:rFonts w:ascii="Arial" w:eastAsia="Times New Roman" w:hAnsi="Arial" w:cs="Arial"/>
          <w:color w:val="000000"/>
          <w:spacing w:val="2"/>
          <w:kern w:val="0"/>
          <w:bdr w:val="single" w:sz="2" w:space="0" w:color="auto" w:frame="1"/>
          <w:lang w:val="en-RO" w:eastAsia="en-GB"/>
          <w14:ligatures w14:val="none"/>
        </w:rPr>
        <w:t xml:space="preserve"> Afișaj de stare și comenzi de meniu</w:t>
      </w:r>
    </w:p>
    <w:p w14:paraId="02DDBD6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butoanele Enter și Exit și rotița de meniu pentru a accesa meniul de configurare. Apăsați rotița de meniu pentru a muta cursorul la elementul următor. Rotiți rotița de meniu pentru a modifica un parametru - butonul Enter clipește. Apăsați-l pentru a salva valoarea. Apăsați butonul Exit pentru a anula modificările și a reveni la meniul anterior.</w:t>
      </w:r>
    </w:p>
    <w:p w14:paraId="0FB85DE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③</w:t>
      </w:r>
      <w:r w:rsidRPr="00EF2922">
        <w:rPr>
          <w:rFonts w:ascii="Arial" w:eastAsia="Times New Roman" w:hAnsi="Arial" w:cs="Arial"/>
          <w:color w:val="000000"/>
          <w:spacing w:val="2"/>
          <w:kern w:val="0"/>
          <w:bdr w:val="single" w:sz="2" w:space="0" w:color="auto" w:frame="1"/>
          <w:lang w:val="en-RO" w:eastAsia="en-GB"/>
          <w14:ligatures w14:val="none"/>
        </w:rPr>
        <w:t xml:space="preserve"> Buton de sincronizare</w:t>
      </w:r>
    </w:p>
    <w:p w14:paraId="2EF845D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butonul de sincronizare în timp ce ferestrele IR ale unității rack și ale bodypack-ului sunt aliniate cu setările de transfer.</w:t>
      </w:r>
    </w:p>
    <w:p w14:paraId="059AF89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④</w:t>
      </w:r>
      <w:r w:rsidRPr="00EF2922">
        <w:rPr>
          <w:rFonts w:ascii="Arial" w:eastAsia="Times New Roman" w:hAnsi="Arial" w:cs="Arial"/>
          <w:color w:val="000000"/>
          <w:spacing w:val="2"/>
          <w:kern w:val="0"/>
          <w:bdr w:val="single" w:sz="2" w:space="0" w:color="auto" w:frame="1"/>
          <w:lang w:val="en-RO" w:eastAsia="en-GB"/>
          <w14:ligatures w14:val="none"/>
        </w:rPr>
        <w:t xml:space="preserve"> Monitorizare prin căști</w:t>
      </w:r>
    </w:p>
    <w:p w14:paraId="253F329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Controlul volumului ajustează ieșirea semnalului către mufa pentru căști de 3,5 mm. NOTĂ: nu afectează ieșirile de pe panoul din spate.</w:t>
      </w:r>
    </w:p>
    <w:p w14:paraId="04838E4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⑤</w:t>
      </w:r>
      <w:r w:rsidRPr="00EF2922">
        <w:rPr>
          <w:rFonts w:ascii="Arial" w:eastAsia="Times New Roman" w:hAnsi="Arial" w:cs="Arial"/>
          <w:color w:val="000000"/>
          <w:spacing w:val="2"/>
          <w:kern w:val="0"/>
          <w:bdr w:val="single" w:sz="2" w:space="0" w:color="auto" w:frame="1"/>
          <w:lang w:val="en-RO" w:eastAsia="en-GB"/>
          <w14:ligatures w14:val="none"/>
        </w:rPr>
        <w:t xml:space="preserve"> Comutator RF</w:t>
      </w:r>
    </w:p>
    <w:p w14:paraId="45F572E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Dezactivează ieșirea RF. Pentru configurarea mai multor sisteme sau ajustarea setărilor fără a transmite semnale RF sau audio nedorite.</w:t>
      </w:r>
    </w:p>
    <w:p w14:paraId="744634E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⑥</w:t>
      </w:r>
      <w:r w:rsidRPr="00EF2922">
        <w:rPr>
          <w:rFonts w:ascii="Arial" w:eastAsia="Times New Roman" w:hAnsi="Arial" w:cs="Arial"/>
          <w:color w:val="000000"/>
          <w:spacing w:val="2"/>
          <w:kern w:val="0"/>
          <w:bdr w:val="single" w:sz="2" w:space="0" w:color="auto" w:frame="1"/>
          <w:lang w:val="en-RO" w:eastAsia="en-GB"/>
          <w14:ligatures w14:val="none"/>
        </w:rPr>
        <w:t xml:space="preserve"> Buton de pornire</w:t>
      </w:r>
    </w:p>
    <w:p w14:paraId="4469519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Pornește și oprește unitatea.</w:t>
      </w:r>
    </w:p>
    <w:p w14:paraId="176C2AD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Conectori panou spate</w:t>
      </w:r>
    </w:p>
    <w:p w14:paraId="2BB3F576" w14:textId="1845AB99"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lastRenderedPageBreak/>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"https://pubs2-images.prod.shureweb.eu/proxy/graphics/f_20b57586-657a-41df-b90a-e9b6804b4e54-en-US.png"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1D3A8E70" wp14:editId="112D7747">
            <wp:extent cx="4165600" cy="1524000"/>
            <wp:effectExtent l="0" t="0" r="0" b="0"/>
            <wp:docPr id="17848474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600" cy="15240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31DC7FA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⑦</w:t>
      </w:r>
      <w:r w:rsidRPr="00EF2922">
        <w:rPr>
          <w:rFonts w:ascii="Arial" w:eastAsia="Times New Roman" w:hAnsi="Arial" w:cs="Arial"/>
          <w:color w:val="000000"/>
          <w:spacing w:val="2"/>
          <w:kern w:val="0"/>
          <w:bdr w:val="single" w:sz="2" w:space="0" w:color="auto" w:frame="1"/>
          <w:lang w:val="en-RO" w:eastAsia="en-GB"/>
          <w14:ligatures w14:val="none"/>
        </w:rPr>
        <w:t xml:space="preserve"> Putere</w:t>
      </w:r>
    </w:p>
    <w:p w14:paraId="731A87C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Conectați transmițătorul la o priză de alimentare folosind adaptorul de alimentare furnizat.</w:t>
      </w:r>
    </w:p>
    <w:p w14:paraId="5BD6DFA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⑧</w:t>
      </w:r>
      <w:r w:rsidRPr="00EF2922">
        <w:rPr>
          <w:rFonts w:ascii="Arial" w:eastAsia="Times New Roman" w:hAnsi="Arial" w:cs="Arial"/>
          <w:color w:val="000000"/>
          <w:spacing w:val="2"/>
          <w:kern w:val="0"/>
          <w:bdr w:val="single" w:sz="2" w:space="0" w:color="auto" w:frame="1"/>
          <w:lang w:val="en-RO" w:eastAsia="en-GB"/>
          <w14:ligatures w14:val="none"/>
        </w:rPr>
        <w:t> REPETIȚIE ÎN BUCLA</w:t>
      </w:r>
    </w:p>
    <w:p w14:paraId="5D4E590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Trimite o copie a semnalului audio care intră în transmițător către un alt dispozitiv. Consultați </w:t>
      </w:r>
      <w:r w:rsidRPr="00EF2922">
        <w:rPr>
          <w:rFonts w:ascii="Arial" w:eastAsia="Times New Roman" w:hAnsi="Arial" w:cs="Arial"/>
          <w:i/>
          <w:iCs/>
          <w:color w:val="000000"/>
          <w:spacing w:val="2"/>
          <w:kern w:val="0"/>
          <w:bdr w:val="single" w:sz="2" w:space="0" w:color="auto" w:frame="1"/>
          <w:lang w:val="en-RO" w:eastAsia="en-GB"/>
          <w14:ligatures w14:val="none"/>
        </w:rPr>
        <w:t>Aplicații LOOP</w:t>
      </w:r>
      <w:r w:rsidRPr="00EF2922">
        <w:rPr>
          <w:rFonts w:ascii="Arial" w:eastAsia="Times New Roman" w:hAnsi="Arial" w:cs="Arial"/>
          <w:color w:val="000000"/>
          <w:spacing w:val="2"/>
          <w:kern w:val="0"/>
          <w:bdr w:val="single" w:sz="2" w:space="0" w:color="auto" w:frame="1"/>
          <w:lang w:val="en-RO" w:eastAsia="en-GB"/>
          <w14:ligatures w14:val="none"/>
        </w:rPr>
        <w:t> .</w:t>
      </w:r>
    </w:p>
    <w:p w14:paraId="21BAB2E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⑨</w:t>
      </w:r>
      <w:r w:rsidRPr="00EF2922">
        <w:rPr>
          <w:rFonts w:ascii="Arial" w:eastAsia="Times New Roman" w:hAnsi="Arial" w:cs="Arial"/>
          <w:color w:val="000000"/>
          <w:spacing w:val="2"/>
          <w:kern w:val="0"/>
          <w:bdr w:val="single" w:sz="2" w:space="0" w:color="auto" w:frame="1"/>
          <w:lang w:val="en-RO" w:eastAsia="en-GB"/>
          <w14:ligatures w14:val="none"/>
        </w:rPr>
        <w:t xml:space="preserve"> Intrări audio</w:t>
      </w:r>
    </w:p>
    <w:p w14:paraId="126DC20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Conectați la ieșiri echilibrate sau neechilibrate. Folosiți oricare dintre conectori pentru intrare mono. Acceptă atât conectori de 1/4 inch, cât și XLR mascul.</w:t>
      </w:r>
    </w:p>
    <w:p w14:paraId="17B846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⑩</w:t>
      </w:r>
      <w:r w:rsidRPr="00EF2922">
        <w:rPr>
          <w:rFonts w:ascii="Arial" w:eastAsia="Times New Roman" w:hAnsi="Arial" w:cs="Arial"/>
          <w:color w:val="000000"/>
          <w:spacing w:val="2"/>
          <w:kern w:val="0"/>
          <w:bdr w:val="single" w:sz="2" w:space="0" w:color="auto" w:frame="1"/>
          <w:lang w:val="en-RO" w:eastAsia="en-GB"/>
          <w14:ligatures w14:val="none"/>
        </w:rPr>
        <w:t xml:space="preserve"> Antenă (BNC)</w:t>
      </w:r>
    </w:p>
    <w:p w14:paraId="1372A7E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Atașați antena furnizată. Dacă montați în rack, utilizați un kit de montare pe panoul frontal sau la distanță de la Shure.</w:t>
      </w:r>
    </w:p>
    <w:p w14:paraId="30A1114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Meniu de configurare</w:t>
      </w:r>
    </w:p>
    <w:p w14:paraId="2E1FC28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Elementele din meniul de configurare pot varia în funcție de modelul regional.</w:t>
      </w:r>
    </w:p>
    <w:p w14:paraId="1375AB2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Setări RF</w:t>
      </w:r>
    </w:p>
    <w:p w14:paraId="2434AEC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RADIO</w:t>
      </w:r>
    </w:p>
    <w:p w14:paraId="14228C9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w:t>
      </w:r>
    </w:p>
    <w:p w14:paraId="0C787DC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Setează numărul grupului</w:t>
      </w:r>
    </w:p>
    <w:p w14:paraId="057F38D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CH</w:t>
      </w:r>
    </w:p>
    <w:p w14:paraId="7CB3F38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Setează numărul canalului</w:t>
      </w:r>
    </w:p>
    <w:p w14:paraId="1E9386E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888,888 MHz</w:t>
      </w:r>
    </w:p>
    <w:p w14:paraId="1CABDAA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Selectarea manuală a frecvenței</w:t>
      </w:r>
    </w:p>
    <w:p w14:paraId="07EF5CF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PUTERE RF</w:t>
      </w:r>
    </w:p>
    <w:p w14:paraId="04CDF04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Selectați între 10, 50 sau 100 mW (variază în funcție de regiune)</w:t>
      </w:r>
    </w:p>
    <w:p w14:paraId="6B86D1D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Setări audio</w:t>
      </w:r>
    </w:p>
    <w:p w14:paraId="2E2E0CD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enlo" w:eastAsia="Times New Roman" w:hAnsi="Menlo" w:cs="Menlo"/>
          <w:color w:val="000000"/>
          <w:spacing w:val="2"/>
          <w:kern w:val="0"/>
          <w:bdr w:val="single" w:sz="2" w:space="0" w:color="auto" w:frame="1"/>
          <w:lang w:val="en-RO" w:eastAsia="en-GB"/>
          <w14:ligatures w14:val="none"/>
        </w:rPr>
        <w:t>AUDIO</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MODE</w:t>
      </w:r>
    </w:p>
    <w:p w14:paraId="37AF49D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Selectează modul monitor</w:t>
      </w:r>
    </w:p>
    <w:p w14:paraId="5AB02CE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STEREO/MX</w:t>
      </w:r>
    </w:p>
    <w:p w14:paraId="33B82A9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Transmite ambele canale</w:t>
      </w:r>
    </w:p>
    <w:p w14:paraId="3B466F9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MONO</w:t>
      </w:r>
    </w:p>
    <w:p w14:paraId="1833EF6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Transmite un semnal mono către bodypack</w:t>
      </w:r>
    </w:p>
    <w:p w14:paraId="1B747D2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enlo" w:eastAsia="Times New Roman" w:hAnsi="Menlo" w:cs="Menlo"/>
          <w:color w:val="000000"/>
          <w:spacing w:val="2"/>
          <w:kern w:val="0"/>
          <w:bdr w:val="single" w:sz="2" w:space="0" w:color="auto" w:frame="1"/>
          <w:lang w:val="en-RO" w:eastAsia="en-GB"/>
          <w14:ligatures w14:val="none"/>
        </w:rPr>
        <w:t>AUDIO</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INPUT</w:t>
      </w:r>
    </w:p>
    <w:p w14:paraId="5EF19A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Setează nivelul nominal de intrare</w:t>
      </w:r>
    </w:p>
    <w:p w14:paraId="75BE4B5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LINIE +4 dBu</w:t>
      </w:r>
    </w:p>
    <w:p w14:paraId="205C6F1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nivel de linie</w:t>
      </w:r>
    </w:p>
    <w:p w14:paraId="151DB6C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AUX -10dBV</w:t>
      </w:r>
    </w:p>
    <w:p w14:paraId="2FF9640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nivel auxiliar</w:t>
      </w:r>
    </w:p>
    <w:p w14:paraId="0D7E5C4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Utilitare și setări de afișare</w:t>
      </w:r>
    </w:p>
    <w:p w14:paraId="43A7929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UTILITĂȚI</w:t>
      </w:r>
    </w:p>
    <w:p w14:paraId="0EAFB9E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EDITARE NUME</w:t>
      </w:r>
    </w:p>
    <w:p w14:paraId="067B568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Modifică numele de pe ecranul LCD (acest nume este încărcat în dispozitivul bodypack prin sincronizare)</w:t>
      </w:r>
    </w:p>
    <w:p w14:paraId="44B2D50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AFIŞA</w:t>
      </w:r>
    </w:p>
    <w:p w14:paraId="1BA2530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Modifică formatul de afișare</w:t>
      </w:r>
    </w:p>
    <w:p w14:paraId="3D58920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CONTRAST</w:t>
      </w:r>
    </w:p>
    <w:p w14:paraId="09E6155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Modifică contrastul afișajului</w:t>
      </w:r>
    </w:p>
    <w:p w14:paraId="5ACE8B4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GRUP PERSONALIZAT</w:t>
      </w:r>
    </w:p>
    <w:p w14:paraId="40C2956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crearea de grupuri de frecvență personalizate</w:t>
      </w:r>
    </w:p>
    <w:p w14:paraId="03EABCD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enlo" w:eastAsia="Times New Roman" w:hAnsi="Menlo" w:cs="Menlo"/>
          <w:color w:val="000000"/>
          <w:spacing w:val="2"/>
          <w:kern w:val="0"/>
          <w:bdr w:val="single" w:sz="2" w:space="0" w:color="auto" w:frame="1"/>
          <w:lang w:val="en-RO" w:eastAsia="en-GB"/>
          <w14:ligatures w14:val="none"/>
        </w:rPr>
        <w:t>UTILITIES</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LOCK PANEL</w:t>
      </w:r>
    </w:p>
    <w:p w14:paraId="5F5AE92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comenzile panoului frontal. Pentru deblocare, apăsați Exit, selectați OFF și apăsați Enter.</w:t>
      </w:r>
    </w:p>
    <w:p w14:paraId="3DAE883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MENIU+NIVEL</w:t>
      </w:r>
    </w:p>
    <w:p w14:paraId="6BAC1E5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meniul și comenzile de nivel.</w:t>
      </w:r>
    </w:p>
    <w:p w14:paraId="4514B53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NUMAI MENIU</w:t>
      </w:r>
    </w:p>
    <w:p w14:paraId="4678CF1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doar meniul de configurare (comenzile de meniu).</w:t>
      </w:r>
    </w:p>
    <w:p w14:paraId="23AD12C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MENIU+COMUTARE</w:t>
      </w:r>
    </w:p>
    <w:p w14:paraId="41B60DF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toate comenzile, cu excepția butoanelor de nivel (inclusiv comutatoarele RF și de alimentare).*</w:t>
      </w:r>
    </w:p>
    <w:p w14:paraId="0042CD5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TOATE</w:t>
      </w:r>
    </w:p>
    <w:p w14:paraId="1DCC722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toate comenzile (inclusiv comutatoarele RF și de alimentare).*</w:t>
      </w:r>
    </w:p>
    <w:p w14:paraId="4744ED9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*RF-ul se activează automat când este blocat. Când deblocați unitatea, RF-ul și alimentarea se opresc dacă întrerupătoarele sunt oprite.</w:t>
      </w:r>
    </w:p>
    <w:p w14:paraId="3A5B4F1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enlo" w:eastAsia="Times New Roman" w:hAnsi="Menlo" w:cs="Menlo"/>
          <w:color w:val="000000"/>
          <w:spacing w:val="2"/>
          <w:kern w:val="0"/>
          <w:bdr w:val="single" w:sz="2" w:space="0" w:color="auto" w:frame="1"/>
          <w:lang w:val="en-RO" w:eastAsia="en-GB"/>
          <w14:ligatures w14:val="none"/>
        </w:rPr>
        <w:t>UTILITIES</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RX SETUP</w:t>
      </w:r>
    </w:p>
    <w:p w14:paraId="5BF4DBC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Aceste setări sunt trimise către microfonul bodypack în timpul unei sincronizări (când direcția de sincronizare este de la transmițător). Parametrul implicit KEEP nu va modifica setările microfonului bodypack.</w:t>
      </w:r>
    </w:p>
    <w:p w14:paraId="5BA109C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BLOCARE</w:t>
      </w:r>
    </w:p>
    <w:p w14:paraId="4C01345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Blocare bodypack</w:t>
      </w:r>
    </w:p>
    <w:p w14:paraId="6541E30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LIMITĂ V</w:t>
      </w:r>
    </w:p>
    <w:p w14:paraId="2BAF027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Limitator de volum</w:t>
      </w:r>
    </w:p>
    <w:p w14:paraId="73FF872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LIM VAL</w:t>
      </w:r>
    </w:p>
    <w:p w14:paraId="2CF07B7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Valoarea limitatorului de volum</w:t>
      </w:r>
    </w:p>
    <w:p w14:paraId="20BC989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MOD</w:t>
      </w:r>
    </w:p>
    <w:p w14:paraId="7E357F1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Stereo (ST) sau MixMode (MX)</w:t>
      </w:r>
    </w:p>
    <w:p w14:paraId="655A5B3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BAL MX</w:t>
      </w:r>
    </w:p>
    <w:p w14:paraId="566A4B8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Mix CH. 1 (L) și CH. 2 (R) pentru MixMode</w:t>
      </w:r>
    </w:p>
    <w:p w14:paraId="46E0989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BAL ST</w:t>
      </w:r>
    </w:p>
    <w:p w14:paraId="314AC02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Balans stânga (L) și dreapta (R) pentru modul stereo</w:t>
      </w:r>
    </w:p>
    <w:p w14:paraId="1BBB910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HIBOOST</w:t>
      </w:r>
    </w:p>
    <w:p w14:paraId="05B8B8F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creșterea frecvenței înalte</w:t>
      </w:r>
    </w:p>
    <w:p w14:paraId="1A9C2D9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enlo" w:eastAsia="Times New Roman" w:hAnsi="Menlo" w:cs="Menlo"/>
          <w:color w:val="000000"/>
          <w:spacing w:val="2"/>
          <w:kern w:val="0"/>
          <w:bdr w:val="single" w:sz="2" w:space="0" w:color="auto" w:frame="1"/>
          <w:lang w:val="en-RO" w:eastAsia="en-GB"/>
          <w14:ligatures w14:val="none"/>
        </w:rPr>
        <w:t>UTILITIES</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RESET SYSTEM</w:t>
      </w:r>
    </w:p>
    <w:p w14:paraId="748D3E6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Readuce toate setările la valorile implicite din fabrică</w:t>
      </w:r>
    </w:p>
    <w:p w14:paraId="69A126F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w:t>
      </w:r>
    </w:p>
    <w:p w14:paraId="666037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Ieșiți și nu resetați sistemul.</w:t>
      </w:r>
    </w:p>
    <w:p w14:paraId="143B5A2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DA</w:t>
      </w:r>
    </w:p>
    <w:p w14:paraId="43FEE9F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Resetați setările de sistem.</w:t>
      </w:r>
    </w:p>
    <w:p w14:paraId="25630B2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Receptor Bodypack</w:t>
      </w:r>
    </w:p>
    <w:p w14:paraId="63B020F3" w14:textId="06A92A93"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lastRenderedPageBreak/>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"https://pubs2-images.prod.shureweb.eu/proxy/graphics/f_160138f1-2f20-4897-b6aa-b9f176d1a1c9-en-US.png"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6A771C6D" wp14:editId="63030A25">
            <wp:extent cx="3090545" cy="4368800"/>
            <wp:effectExtent l="0" t="0" r="0" b="0"/>
            <wp:docPr id="15663856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0545" cy="43688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76ECEA2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①</w:t>
      </w:r>
      <w:r w:rsidRPr="00EF2922">
        <w:rPr>
          <w:rFonts w:ascii="Arial" w:eastAsia="Times New Roman" w:hAnsi="Arial" w:cs="Arial"/>
          <w:color w:val="000000"/>
          <w:spacing w:val="2"/>
          <w:kern w:val="0"/>
          <w:bdr w:val="single" w:sz="2" w:space="0" w:color="auto" w:frame="1"/>
          <w:lang w:val="en-RO" w:eastAsia="en-GB"/>
          <w14:ligatures w14:val="none"/>
        </w:rPr>
        <w:t xml:space="preserve"> Comutator de alimentare și control al volumului</w:t>
      </w:r>
    </w:p>
    <w:p w14:paraId="79E0FA1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Pornește și oprește dispozitivul de bodypack și ajustează volumul căștilor.</w:t>
      </w:r>
    </w:p>
    <w:p w14:paraId="46E74FA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②</w:t>
      </w:r>
      <w:r w:rsidRPr="00EF2922">
        <w:rPr>
          <w:rFonts w:ascii="Arial" w:eastAsia="Times New Roman" w:hAnsi="Arial" w:cs="Arial"/>
          <w:color w:val="000000"/>
          <w:spacing w:val="2"/>
          <w:kern w:val="0"/>
          <w:bdr w:val="single" w:sz="2" w:space="0" w:color="auto" w:frame="1"/>
          <w:lang w:val="en-RO" w:eastAsia="en-GB"/>
          <w14:ligatures w14:val="none"/>
        </w:rPr>
        <w:t xml:space="preserve"> Mufă pentru căști de 3,5 mm</w:t>
      </w:r>
    </w:p>
    <w:p w14:paraId="32E7608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Introduceți căștile aici.</w:t>
      </w:r>
    </w:p>
    <w:p w14:paraId="71700BD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③</w:t>
      </w:r>
      <w:r w:rsidRPr="00EF2922">
        <w:rPr>
          <w:rFonts w:ascii="Arial" w:eastAsia="Times New Roman" w:hAnsi="Arial" w:cs="Arial"/>
          <w:color w:val="000000"/>
          <w:spacing w:val="2"/>
          <w:kern w:val="0"/>
          <w:bdr w:val="single" w:sz="2" w:space="0" w:color="auto" w:frame="1"/>
          <w:lang w:val="en-RO" w:eastAsia="en-GB"/>
          <w14:ligatures w14:val="none"/>
        </w:rPr>
        <w:t xml:space="preserve"> Buton Scanare</w:t>
      </w:r>
    </w:p>
    <w:p w14:paraId="7283124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butonul de scanare pentru a găsi o frecvență disponibilă. Apăsați și mențineți apăsat timp de două secunde pentru a găsi grupul cu cele mai multe canale disponibile.</w:t>
      </w:r>
    </w:p>
    <w:p w14:paraId="2961A35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④</w:t>
      </w:r>
      <w:r w:rsidRPr="00EF2922">
        <w:rPr>
          <w:rFonts w:ascii="Arial" w:eastAsia="Times New Roman" w:hAnsi="Arial" w:cs="Arial"/>
          <w:color w:val="000000"/>
          <w:spacing w:val="2"/>
          <w:kern w:val="0"/>
          <w:bdr w:val="single" w:sz="2" w:space="0" w:color="auto" w:frame="1"/>
          <w:lang w:val="en-RO" w:eastAsia="en-GB"/>
          <w14:ligatures w14:val="none"/>
        </w:rPr>
        <w:t xml:space="preserve"> Fereastră IR</w:t>
      </w:r>
    </w:p>
    <w:p w14:paraId="21C3D6D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transmiterea setărilor între bodypack și unitatea rack.</w:t>
      </w:r>
    </w:p>
    <w:p w14:paraId="71168DB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⑤</w:t>
      </w:r>
      <w:r w:rsidRPr="00EF2922">
        <w:rPr>
          <w:rFonts w:ascii="Arial" w:eastAsia="Times New Roman" w:hAnsi="Arial" w:cs="Arial"/>
          <w:color w:val="000000"/>
          <w:spacing w:val="2"/>
          <w:kern w:val="0"/>
          <w:bdr w:val="single" w:sz="2" w:space="0" w:color="auto" w:frame="1"/>
          <w:lang w:val="en-RO" w:eastAsia="en-GB"/>
          <w14:ligatures w14:val="none"/>
        </w:rPr>
        <w:t xml:space="preserve"> Compartimentul bateriei</w:t>
      </w:r>
    </w:p>
    <w:p w14:paraId="0948610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Necesită 2 baterii AA sau o baterie reîncărcabilă Shure. Deschideți apăsând zăvoarele de pe ambele părți și trăgând.</w:t>
      </w:r>
    </w:p>
    <w:p w14:paraId="38BE390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lastRenderedPageBreak/>
        <w:t>⑥</w:t>
      </w:r>
      <w:r w:rsidRPr="00EF2922">
        <w:rPr>
          <w:rFonts w:ascii="Arial" w:eastAsia="Times New Roman" w:hAnsi="Arial" w:cs="Arial"/>
          <w:color w:val="000000"/>
          <w:spacing w:val="2"/>
          <w:kern w:val="0"/>
          <w:bdr w:val="single" w:sz="2" w:space="0" w:color="auto" w:frame="1"/>
          <w:lang w:val="en-RO" w:eastAsia="en-GB"/>
          <w14:ligatures w14:val="none"/>
        </w:rPr>
        <w:t xml:space="preserve"> Butoane de meniu</w:t>
      </w:r>
    </w:p>
    <w:p w14:paraId="749DCCC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împreună cu butoanele ▼▲ pentru a accesa meniurile de configurare.</w:t>
      </w:r>
    </w:p>
    <w:p w14:paraId="64C6D4D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⑦</w:t>
      </w:r>
      <w:r w:rsidRPr="00EF2922">
        <w:rPr>
          <w:rFonts w:ascii="Arial" w:eastAsia="Times New Roman" w:hAnsi="Arial" w:cs="Arial"/>
          <w:color w:val="000000"/>
          <w:spacing w:val="2"/>
          <w:kern w:val="0"/>
          <w:bdr w:val="single" w:sz="2" w:space="0" w:color="auto" w:frame="1"/>
          <w:lang w:val="en-RO" w:eastAsia="en-GB"/>
          <w14:ligatures w14:val="none"/>
        </w:rPr>
        <w:t xml:space="preserve"> ▼▲ Butoane</w:t>
      </w:r>
    </w:p>
    <w:p w14:paraId="3ADF825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pentru a ajusta mixajul audio (doar în MixMode) sau împreună cu butoanele de meniu pentru a modifica setările.</w:t>
      </w:r>
    </w:p>
    <w:p w14:paraId="2B97F55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⑧</w:t>
      </w:r>
      <w:r w:rsidRPr="00EF2922">
        <w:rPr>
          <w:rFonts w:ascii="Arial" w:eastAsia="Times New Roman" w:hAnsi="Arial" w:cs="Arial"/>
          <w:color w:val="000000"/>
          <w:spacing w:val="2"/>
          <w:kern w:val="0"/>
          <w:bdr w:val="single" w:sz="2" w:space="0" w:color="auto" w:frame="1"/>
          <w:lang w:val="en-RO" w:eastAsia="en-GB"/>
          <w14:ligatures w14:val="none"/>
        </w:rPr>
        <w:t xml:space="preserve"> Ecran LCD</w:t>
      </w:r>
    </w:p>
    <w:p w14:paraId="7FAC954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Afișează setările și meniurile curente.</w:t>
      </w:r>
    </w:p>
    <w:p w14:paraId="1AE789E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⑨</w:t>
      </w:r>
      <w:r w:rsidRPr="00EF2922">
        <w:rPr>
          <w:rFonts w:ascii="Arial" w:eastAsia="Times New Roman" w:hAnsi="Arial" w:cs="Arial"/>
          <w:color w:val="000000"/>
          <w:spacing w:val="2"/>
          <w:kern w:val="0"/>
          <w:bdr w:val="single" w:sz="2" w:space="0" w:color="auto" w:frame="1"/>
          <w:lang w:val="en-RO" w:eastAsia="en-GB"/>
          <w14:ligatures w14:val="none"/>
        </w:rPr>
        <w:t xml:space="preserve"> LED baterie tricolor</w:t>
      </w:r>
    </w:p>
    <w:p w14:paraId="3FA1425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 aprinde în verde, chihlimbar sau roșu pentru a indica nivelul bateriei. Când este roșu, schimbați bateria imediat.</w:t>
      </w:r>
    </w:p>
    <w:p w14:paraId="287B205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⑩</w:t>
      </w:r>
      <w:r w:rsidRPr="00EF2922">
        <w:rPr>
          <w:rFonts w:ascii="Arial" w:eastAsia="Times New Roman" w:hAnsi="Arial" w:cs="Arial"/>
          <w:color w:val="000000"/>
          <w:spacing w:val="2"/>
          <w:kern w:val="0"/>
          <w:bdr w:val="single" w:sz="2" w:space="0" w:color="auto" w:frame="1"/>
          <w:lang w:val="en-RO" w:eastAsia="en-GB"/>
          <w14:ligatures w14:val="none"/>
        </w:rPr>
        <w:t xml:space="preserve"> LED albastru RF</w:t>
      </w:r>
    </w:p>
    <w:p w14:paraId="16951C9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Indică faptul că dispozitivul de bodypack primește un semnal de la transmițător.</w:t>
      </w:r>
    </w:p>
    <w:p w14:paraId="7176F5B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⑪</w:t>
      </w:r>
      <w:r w:rsidRPr="00EF2922">
        <w:rPr>
          <w:rFonts w:ascii="Arial" w:eastAsia="Times New Roman" w:hAnsi="Arial" w:cs="Arial"/>
          <w:color w:val="000000"/>
          <w:spacing w:val="2"/>
          <w:kern w:val="0"/>
          <w:bdr w:val="single" w:sz="2" w:space="0" w:color="auto" w:frame="1"/>
          <w:lang w:val="en-RO" w:eastAsia="en-GB"/>
          <w14:ligatures w14:val="none"/>
        </w:rPr>
        <w:t xml:space="preserve"> Conector SMA</w:t>
      </w:r>
    </w:p>
    <w:p w14:paraId="7BBE63E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antene detașabile.</w:t>
      </w:r>
    </w:p>
    <w:p w14:paraId="520B3B5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Cambria Math" w:eastAsia="Times New Roman" w:hAnsi="Cambria Math" w:cs="Cambria Math"/>
          <w:color w:val="000000"/>
          <w:spacing w:val="2"/>
          <w:kern w:val="0"/>
          <w:bdr w:val="single" w:sz="2" w:space="0" w:color="auto" w:frame="1"/>
          <w:lang w:val="en-RO" w:eastAsia="en-GB"/>
          <w14:ligatures w14:val="none"/>
        </w:rPr>
        <w:t>⑫</w:t>
      </w:r>
      <w:r w:rsidRPr="00EF2922">
        <w:rPr>
          <w:rFonts w:ascii="Arial" w:eastAsia="Times New Roman" w:hAnsi="Arial" w:cs="Arial"/>
          <w:color w:val="000000"/>
          <w:spacing w:val="2"/>
          <w:kern w:val="0"/>
          <w:bdr w:val="single" w:sz="2" w:space="0" w:color="auto" w:frame="1"/>
          <w:lang w:val="en-RO" w:eastAsia="en-GB"/>
          <w14:ligatures w14:val="none"/>
        </w:rPr>
        <w:t xml:space="preserve"> Adaptor AA detașabil</w:t>
      </w:r>
    </w:p>
    <w:p w14:paraId="13F0F2F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Scoateți pentru a utiliza cu o baterie reîncărcabilă Shure SB900B.</w:t>
      </w:r>
    </w:p>
    <w:p w14:paraId="1DA4DC1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Pentru a scoate adaptorul, deschideți ușa și glisați-o afară. Pentru a reinstala adaptorul, așezați-l peste clemă și apăsați; se va auzi un clic la fixare.</w:t>
      </w:r>
    </w:p>
    <w:p w14:paraId="589B742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Durata de viață a bateriei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870"/>
        <w:gridCol w:w="1602"/>
        <w:gridCol w:w="923"/>
        <w:gridCol w:w="923"/>
        <w:gridCol w:w="923"/>
        <w:gridCol w:w="923"/>
        <w:gridCol w:w="923"/>
        <w:gridCol w:w="923"/>
      </w:tblGrid>
      <w:tr w:rsidR="00EF2922" w:rsidRPr="00EF2922" w14:paraId="66218039" w14:textId="77777777">
        <w:tc>
          <w:tcPr>
            <w:tcW w:w="0" w:type="auto"/>
            <w:vMerge w:val="restart"/>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EC4FA27"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Indicator baterie</w:t>
            </w:r>
          </w:p>
        </w:tc>
        <w:tc>
          <w:tcPr>
            <w:tcW w:w="0" w:type="auto"/>
            <w:vMerge w:val="restart"/>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45BD8428"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LED tricolor pentru baterie</w:t>
            </w:r>
          </w:p>
        </w:tc>
        <w:tc>
          <w:tcPr>
            <w:tcW w:w="0" w:type="auto"/>
            <w:gridSpan w:val="6"/>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283D225"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Ore aproximative rămase (h:mm)</w:t>
            </w:r>
          </w:p>
        </w:tc>
      </w:tr>
      <w:tr w:rsidR="00EF2922" w:rsidRPr="00EF2922" w14:paraId="7757F96A" w14:textId="77777777">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2E41000C"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0EAB9112"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gridSpan w:val="3"/>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6E928AB"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Alcalin</w:t>
            </w:r>
          </w:p>
        </w:tc>
        <w:tc>
          <w:tcPr>
            <w:tcW w:w="0" w:type="auto"/>
            <w:gridSpan w:val="3"/>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9CA0CC1"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Baterie reîncărcabilă Shure SB900B</w:t>
            </w:r>
          </w:p>
        </w:tc>
      </w:tr>
      <w:tr w:rsidR="00EF2922" w:rsidRPr="00EF2922" w14:paraId="1DEB7FCA" w14:textId="77777777">
        <w:tc>
          <w:tcPr>
            <w:tcW w:w="0" w:type="auto"/>
            <w:vMerge/>
            <w:tcBorders>
              <w:top w:val="single" w:sz="6" w:space="0" w:color="D7D7D9"/>
              <w:left w:val="single" w:sz="6" w:space="0" w:color="D7D7D9"/>
              <w:bottom w:val="single" w:sz="6" w:space="0" w:color="D7D7D9"/>
              <w:right w:val="single" w:sz="6" w:space="0" w:color="D7D7D9"/>
            </w:tcBorders>
            <w:vAlign w:val="center"/>
            <w:hideMark/>
          </w:tcPr>
          <w:p w14:paraId="05084548"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vMerge/>
            <w:tcBorders>
              <w:top w:val="single" w:sz="6" w:space="0" w:color="D7D7D9"/>
              <w:left w:val="single" w:sz="6" w:space="0" w:color="D7D7D9"/>
              <w:bottom w:val="single" w:sz="6" w:space="0" w:color="D7D7D9"/>
              <w:right w:val="single" w:sz="6" w:space="0" w:color="D7D7D9"/>
            </w:tcBorders>
            <w:vAlign w:val="center"/>
            <w:hideMark/>
          </w:tcPr>
          <w:p w14:paraId="295692AE"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gridSpan w:val="3"/>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945E789"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Nivelul volumului</w:t>
            </w:r>
          </w:p>
        </w:tc>
        <w:tc>
          <w:tcPr>
            <w:tcW w:w="0" w:type="auto"/>
            <w:gridSpan w:val="3"/>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9D07A2B"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Nivelul volumului</w:t>
            </w:r>
          </w:p>
        </w:tc>
      </w:tr>
      <w:tr w:rsidR="00EF2922" w:rsidRPr="00EF2922" w14:paraId="1DB4FE18" w14:textId="77777777">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6E923CC0"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vMerge/>
            <w:tcBorders>
              <w:top w:val="single" w:sz="6" w:space="0" w:color="D7D7D9"/>
              <w:left w:val="single" w:sz="6" w:space="0" w:color="D7D7D9"/>
              <w:bottom w:val="single" w:sz="6" w:space="0" w:color="D7D7D9"/>
              <w:right w:val="single" w:sz="6" w:space="0" w:color="D7D7D9"/>
            </w:tcBorders>
            <w:shd w:val="clear" w:color="auto" w:fill="F2F2F4"/>
            <w:vAlign w:val="center"/>
            <w:hideMark/>
          </w:tcPr>
          <w:p w14:paraId="7B317FD1"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5016EAF"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3000FDC"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46D2E10"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8</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B8CC5B2"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2892C1D"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36DFDF9"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8</w:t>
            </w:r>
          </w:p>
        </w:tc>
      </w:tr>
      <w:tr w:rsidR="00EF2922" w:rsidRPr="00EF2922" w14:paraId="4846D63F"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384A0E1" w14:textId="3C7511F6"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lastRenderedPageBreak/>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"https://pubs2-images.prod.shureweb.eu/proxy/graphics/UR_tx_LCD_battery-meter_full.png"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768A7536" wp14:editId="1A61FEB4">
                  <wp:extent cx="990600" cy="355600"/>
                  <wp:effectExtent l="0" t="0" r="0" b="0"/>
                  <wp:docPr id="14573620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521CC07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41152B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6:00 - 3:50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79E8E52"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4:20 - 2:45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8C6ABD8"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3:15 - 2:05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8BB3EF5"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8:00 - 3:45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26B0D68"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6:45 - 3:45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FEDFE6F"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6:00 - 3:45</w:t>
            </w:r>
          </w:p>
        </w:tc>
      </w:tr>
      <w:tr w:rsidR="00EF2922" w:rsidRPr="00EF2922" w14:paraId="5729F96F"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0960B46" w14:textId="0E7E9326"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"https://pubs2-images.prod.shureweb.eu/proxy/graphics/UR_tx_LCD_battery-meter_4.png"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38BF7CDF" wp14:editId="507408B3">
                  <wp:extent cx="990600" cy="355600"/>
                  <wp:effectExtent l="0" t="0" r="0" b="0"/>
                  <wp:docPr id="15942727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773B54D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A32C932"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3:50 - 2:50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95D5E3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2:45 - 2:00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DF3BEF8"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2:05 - 1:30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AF1EDE9"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3:45 - 2:45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E40D7DE"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3:45 - 2:45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8A6196B"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3:45 - 2:45</w:t>
            </w:r>
          </w:p>
        </w:tc>
      </w:tr>
      <w:tr w:rsidR="00EF2922" w:rsidRPr="00EF2922" w14:paraId="55EACC6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052EFD2" w14:textId="7414B5C1"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"https://pubs2-images.prod.shureweb.eu/proxy/graphics/UR_tx_LCD_battery-meter_3.png"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25265234" wp14:editId="73F0B320">
                  <wp:extent cx="990600" cy="355600"/>
                  <wp:effectExtent l="0" t="0" r="0" b="0"/>
                  <wp:docPr id="5186438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08C6EC4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26276D2"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2:50 - 1:15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6752C26"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2:00 - 1:00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82B7E80"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1:30 - 0:50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7A0E66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2:45 - 1:45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2B367C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2:45 - 1:45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7A09116"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2:45 - 1:45</w:t>
            </w:r>
          </w:p>
        </w:tc>
      </w:tr>
      <w:tr w:rsidR="00EF2922" w:rsidRPr="00EF2922" w14:paraId="1F060DCC"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BAFD22D" w14:textId="0E19365E"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"https://pubs2-images.prod.shureweb.eu/proxy/graphics/UR_tx_LCD_battery-meter_2.png"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4A2C4A8A" wp14:editId="7C601BD8">
                  <wp:extent cx="990600" cy="355600"/>
                  <wp:effectExtent l="0" t="0" r="0" b="0"/>
                  <wp:docPr id="17400343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131EC48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Verde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E65D053"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1:15 până la 0:25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2F5C7DC"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1:00 - 0:20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A01163D"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0:50 până la 0:20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6BF21C3"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1:50 până la 0:55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D7F1C7E"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1:50 până la 0:55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074E1C6"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1:50 până la 0:55</w:t>
            </w:r>
          </w:p>
        </w:tc>
      </w:tr>
      <w:tr w:rsidR="00EF2922" w:rsidRPr="00EF2922" w14:paraId="24C72D01"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64C0CAC" w14:textId="6B0B4AE9"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"https://pubs2-images.prod.shureweb.eu/proxy/graphics/UR_tx_LCD_battery-meter_1.png"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20346C12" wp14:editId="6F60AE4A">
                  <wp:extent cx="990600" cy="355600"/>
                  <wp:effectExtent l="0" t="0" r="0" b="0"/>
                  <wp:docPr id="17952282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hideMark/>
          </w:tcPr>
          <w:p w14:paraId="6E8F055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Chihlimbar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FCD2E46"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0:25 până la 0:15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D7538E0"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0:20 până la 0:10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513D68C"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0:20 până la 0:10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51A855D"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0:55 până la 0:25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57B05B8"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0:55 până la 0:25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B9741E0"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0:55 până la 0:25</w:t>
            </w:r>
          </w:p>
        </w:tc>
      </w:tr>
      <w:tr w:rsidR="00EF2922" w:rsidRPr="00EF2922" w14:paraId="595C2CF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8165828" w14:textId="60B466D4"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"https://pubs2-images.prod.shureweb.eu/proxy/graphics/UR_tx_LCD_battery-meter_0.png"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1622C383" wp14:editId="2169537B">
                  <wp:extent cx="990600" cy="355600"/>
                  <wp:effectExtent l="0" t="0" r="0" b="0"/>
                  <wp:docPr id="13966954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3556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hideMark/>
          </w:tcPr>
          <w:p w14:paraId="5C40B35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Roşu</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92E303C"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0:15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BFD36C7"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0:10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C2B46FB"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0:10</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34F1175"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0:25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B5D7C2A"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0:25</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C7115C0"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&lt; 0:25</w:t>
            </w:r>
          </w:p>
        </w:tc>
      </w:tr>
      <w:tr w:rsidR="00EF2922" w:rsidRPr="00EF2922" w14:paraId="45FD7C3B" w14:textId="77777777">
        <w:tc>
          <w:tcPr>
            <w:tcW w:w="0" w:type="auto"/>
            <w:gridSpan w:val="2"/>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0359469"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Durata totală de viață a bateriei</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28B5F1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6:00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7CB616D"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4:20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065604C"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3:15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C2C2B4F"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8:00</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5865E86"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6:45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EE51904" w14:textId="77777777" w:rsidR="00EF2922" w:rsidRPr="00EF2922" w:rsidRDefault="00EF2922" w:rsidP="00EF2922">
            <w:pPr>
              <w:jc w:val="cente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6:00</w:t>
            </w:r>
          </w:p>
        </w:tc>
      </w:tr>
    </w:tbl>
    <w:p w14:paraId="2893ABB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Mod de economisire a energiei:</w:t>
      </w:r>
      <w:r w:rsidRPr="00EF2922">
        <w:rPr>
          <w:rFonts w:ascii="Arial" w:eastAsia="Times New Roman" w:hAnsi="Arial" w:cs="Arial"/>
          <w:color w:val="000000"/>
          <w:spacing w:val="2"/>
          <w:kern w:val="0"/>
          <w:bdr w:val="single" w:sz="2" w:space="0" w:color="auto" w:frame="1"/>
          <w:lang w:val="en-RO" w:eastAsia="en-GB"/>
          <w14:ligatures w14:val="none"/>
        </w:rPr>
        <w:t> Când nu sunt conectate căști timp de 5 minute, receptorul intră în modul de economisire a energiei pentru a conserva bateria. LED-ul se aprinde/stinge lent în acest mod și continuă să afișeze culoarea care reprezintă durata de viață rămasă a bateriei.</w:t>
      </w:r>
    </w:p>
    <w:p w14:paraId="4430565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Durata de viață a bateriei utilizând baterii alcaline AA marca Energizer și în următoarele condiții:</w:t>
      </w:r>
    </w:p>
    <w:p w14:paraId="0D6E0C6C" w14:textId="77777777" w:rsidR="00EF2922" w:rsidRPr="00EF2922" w:rsidRDefault="00EF2922" w:rsidP="00EF2922">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Setarea sunetului receptorului la V LIMIT = 0dB</w:t>
      </w:r>
    </w:p>
    <w:p w14:paraId="51DF4E85" w14:textId="77777777" w:rsidR="00EF2922" w:rsidRPr="00EF2922" w:rsidRDefault="00EF2922" w:rsidP="00EF2922">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Intrare audio a transmițătorului setată la Line+4 dBu și Nivel setat la -9 dB</w:t>
      </w:r>
    </w:p>
    <w:p w14:paraId="7ED4227F" w14:textId="77777777" w:rsidR="00EF2922" w:rsidRPr="00EF2922" w:rsidRDefault="00EF2922" w:rsidP="00EF2922">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Intrare audio către transmițător: zgomot roz la +8,7 dBV</w:t>
      </w:r>
    </w:p>
    <w:p w14:paraId="2B3C6EB4" w14:textId="77777777" w:rsidR="00EF2922" w:rsidRPr="00EF2922" w:rsidRDefault="00EF2922" w:rsidP="00EF2922">
      <w:pPr>
        <w:numPr>
          <w:ilvl w:val="0"/>
          <w:numId w:val="1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Ieșire audio la receptor: 115 dB SPL în ureche cu căști SE425 (impedanță la 22 Ώ) setate la nivelul de volum 4.</w:t>
      </w:r>
    </w:p>
    <w:p w14:paraId="486FBFF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Utilizarea căștilor cu impedanță mai mică sau a celor cu sensibilitate diferită, tipuri diferite de baterii și setări de amplificare mai mari în sistemul PSM poate determina o durată de viață a bateriei receptorului diferită de cea specificată.</w:t>
      </w:r>
    </w:p>
    <w:p w14:paraId="02233E2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Zgomotul roz este un semnal cu un spectru de frecvență astfel încât densitatea spectrală de putere este invers proporțională cu frecvența. În zgomotul roz, fiecare octavă poartă o cantitate egală de putere de zgomot.</w:t>
      </w:r>
    </w:p>
    <w:p w14:paraId="1D13D0C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O avertizare „Baterie fierbinte” indică faptul că bateria transmițătorului trebuie să se răcească. În caz contrar, transmițătorul se va opri. Lăsați dispozitivul să se răcească și apoi luați în considerare schimbarea bateriei transmițătorului pentru a continua funcționarea.</w:t>
      </w:r>
    </w:p>
    <w:p w14:paraId="1C3C689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Identificați orice posibile surse externe de căldură ale transmițătorului și folosiți transmițătorul departe de aceste surse externe de căldură.</w:t>
      </w:r>
    </w:p>
    <w:p w14:paraId="54861A1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o performanță optimă, toate bateriile trebuie depozitate și utilizate departe de surse externe de căldură, la o temperatură rezonabilă.</w:t>
      </w:r>
    </w:p>
    <w:p w14:paraId="37A4A48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Meniu de configurare</w:t>
      </w:r>
    </w:p>
    <w:p w14:paraId="4248884A" w14:textId="58209742"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"https://pubs2-images.prod.shureweb.eu/proxy/graphics/f_0aedb818-9119-4e1b-b112-d9e9b965565a-en-US.png"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4EB32B51" wp14:editId="273284E2">
            <wp:extent cx="4470400" cy="4402455"/>
            <wp:effectExtent l="0" t="0" r="0" b="0"/>
            <wp:docPr id="20168805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70400" cy="4402455"/>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73A1500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Setări RF</w:t>
      </w:r>
    </w:p>
    <w:p w14:paraId="0E8811E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Accesați următoarele setări RF din meniul RADIO .</w:t>
      </w:r>
    </w:p>
    <w:p w14:paraId="1522CFD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RADIO</w:t>
      </w:r>
    </w:p>
    <w:p w14:paraId="738B27B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w:t>
      </w:r>
    </w:p>
    <w:p w14:paraId="3C7E95E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Număr de grup. Fiecare grup conține canale selectate pentru a funcționa bine împreună într-o singură instalare.</w:t>
      </w:r>
    </w:p>
    <w:p w14:paraId="5F4AA33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CH:</w:t>
      </w:r>
    </w:p>
    <w:p w14:paraId="4D63D04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Număr canal. Setează receptorul la un canal din grupul selectat.</w:t>
      </w:r>
    </w:p>
    <w:p w14:paraId="09399A6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888,888 MHz</w:t>
      </w:r>
    </w:p>
    <w:p w14:paraId="01E4D8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Afișează frecvența la care este setat receptorul. Evidențiați și folosiți butoanele ▼▲ pentru a seta o anumită frecvență.</w:t>
      </w:r>
    </w:p>
    <w:p w14:paraId="434FAF3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SQUELCH</w:t>
      </w:r>
    </w:p>
    <w:p w14:paraId="630237E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Ajustează setarea de squelch.</w:t>
      </w:r>
    </w:p>
    <w:p w14:paraId="6727CF7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RF PAD</w:t>
      </w:r>
    </w:p>
    <w:p w14:paraId="7D4E0E2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Atenuează semnalele antenei în trepte de 3 dB.</w:t>
      </w:r>
    </w:p>
    <w:p w14:paraId="36828BF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Setări audio</w:t>
      </w:r>
    </w:p>
    <w:p w14:paraId="493F943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Accesați următoarele setări audio din meniul Audio .</w:t>
      </w:r>
    </w:p>
    <w:p w14:paraId="2725B88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Mod de ieșire ( MODE )</w:t>
      </w:r>
    </w:p>
    <w:p w14:paraId="6D24F5D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STEREO</w:t>
      </w:r>
    </w:p>
    <w:p w14:paraId="3DF95C4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Recepționează intrările stânga și dreapta ca semnal stereo</w:t>
      </w:r>
    </w:p>
    <w:p w14:paraId="2255073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MIXMODE </w:t>
      </w:r>
      <w:r w:rsidRPr="00EF2922">
        <w:rPr>
          <w:rFonts w:ascii="Arial" w:eastAsia="Times New Roman" w:hAnsi="Arial" w:cs="Arial"/>
          <w:color w:val="000000"/>
          <w:spacing w:val="2"/>
          <w:kern w:val="0"/>
          <w:sz w:val="18"/>
          <w:szCs w:val="18"/>
          <w:bdr w:val="single" w:sz="2" w:space="0" w:color="auto" w:frame="1"/>
          <w:vertAlign w:val="superscript"/>
          <w:lang w:val="en-RO" w:eastAsia="en-GB"/>
          <w14:ligatures w14:val="none"/>
        </w:rPr>
        <w:t>®</w:t>
      </w:r>
    </w:p>
    <w:p w14:paraId="3302045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Setați receptorul să combine canalul stâng și cel drept pentru ascultare simultană în ambele urechi sau să rotiți panoramă pentru a asculta doar canalul stâng sau drept.</w:t>
      </w:r>
    </w:p>
    <w:p w14:paraId="6F6D957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Egalizator parametric cu patru benzi ( EQ )</w:t>
      </w:r>
    </w:p>
    <w:p w14:paraId="5A0C970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Egalizatorul parametric este împărțit în patru benzi de frecvență: LOW (jos) ,  LOW MID (mediu jos) , HIGH MID (mediu înalt) și HIGH (înalt) . Când egalizatorul este activat, următorii parametri sunt reglabili:</w:t>
      </w:r>
    </w:p>
    <w:p w14:paraId="3009DCD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FRECVENŢĂ</w:t>
      </w:r>
    </w:p>
    <w:p w14:paraId="056A68B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Selectați frecvența centrală a benzii de amplificat/redus</w:t>
      </w:r>
    </w:p>
    <w:p w14:paraId="5E40264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w:t>
      </w:r>
    </w:p>
    <w:p w14:paraId="5E0A081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Ajustează lățimea și panta benzii de frecvență (măsurată în octave)</w:t>
      </w:r>
    </w:p>
    <w:p w14:paraId="41E4B24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CÂŞTIG</w:t>
      </w:r>
    </w:p>
    <w:p w14:paraId="7D97D41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Reglabil în trepte de 2 dB de la -6 dB (reducere) la +6 dB (amplificare)</w:t>
      </w:r>
    </w:p>
    <w:p w14:paraId="44B033B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 </w:t>
      </w:r>
      <w:r w:rsidRPr="00EF2922">
        <w:rPr>
          <w:rFonts w:ascii="Arial" w:eastAsia="Times New Roman" w:hAnsi="Arial" w:cs="Arial"/>
          <w:color w:val="000000"/>
          <w:spacing w:val="2"/>
          <w:kern w:val="0"/>
          <w:bdr w:val="single" w:sz="2" w:space="0" w:color="auto" w:frame="1"/>
          <w:lang w:val="en-RO" w:eastAsia="en-GB"/>
          <w14:ligatures w14:val="none"/>
        </w:rPr>
        <w:t>HIGH și LOW sunt filtre shelf și, prin urmare, nu au lățimi Q reglabile. Shelf-ul HIGH este fixat la 10 kHz; shelf- ul LOW este fixat la 100 Hz.</w:t>
      </w:r>
    </w:p>
    <w:p w14:paraId="36BD110E" w14:textId="5F8C2710"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"https://pubs2-images.prod.shureweb.eu/proxy/graphics/f_09280c3e-3a7e-493e-ac16-5b0daeaa03cb-en-US.png"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4A919B24" wp14:editId="6EF2469F">
            <wp:extent cx="5731510" cy="2355215"/>
            <wp:effectExtent l="0" t="0" r="0" b="0"/>
            <wp:docPr id="967838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355215"/>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0E441F8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Limitator de volum ( V LIM )</w:t>
      </w:r>
    </w:p>
    <w:p w14:paraId="667B396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V LIM</w:t>
      </w:r>
    </w:p>
    <w:p w14:paraId="2056858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Setați o valoare ( OFF la -48 dB , reglabilă în trepte de 3 dB) pentru a atenua cel mai înalt nivel de volum posibil. Rotirea butonului de volum pe întreaga sa gamă de mișcare afectează în continuare volumul; limita pur și simplu restrânge intervalul de ajustare dB.</w:t>
      </w:r>
    </w:p>
    <w:p w14:paraId="324C723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Limita de volum </w:t>
      </w:r>
      <w:r w:rsidRPr="00EF2922">
        <w:rPr>
          <w:rFonts w:ascii="Arial" w:eastAsia="Times New Roman" w:hAnsi="Arial" w:cs="Arial"/>
          <w:i/>
          <w:iCs/>
          <w:color w:val="000000"/>
          <w:spacing w:val="2"/>
          <w:kern w:val="0"/>
          <w:bdr w:val="single" w:sz="2" w:space="0" w:color="auto" w:frame="1"/>
          <w:lang w:val="en-RO" w:eastAsia="en-GB"/>
          <w14:ligatures w14:val="none"/>
        </w:rPr>
        <w:t>nu</w:t>
      </w:r>
      <w:r w:rsidRPr="00EF2922">
        <w:rPr>
          <w:rFonts w:ascii="Arial" w:eastAsia="Times New Roman" w:hAnsi="Arial" w:cs="Arial"/>
          <w:color w:val="000000"/>
          <w:spacing w:val="2"/>
          <w:kern w:val="0"/>
          <w:bdr w:val="single" w:sz="2" w:space="0" w:color="auto" w:frame="1"/>
          <w:lang w:val="en-RO" w:eastAsia="en-GB"/>
          <w14:ligatures w14:val="none"/>
        </w:rPr>
        <w:t> comprimă semnalul audio.</w:t>
      </w:r>
    </w:p>
    <w:p w14:paraId="39C6855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Blocare volum ( V LOCK )</w:t>
      </w:r>
    </w:p>
    <w:p w14:paraId="0FF640E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i/>
          <w:iCs/>
          <w:color w:val="000000"/>
          <w:spacing w:val="2"/>
          <w:kern w:val="0"/>
          <w:bdr w:val="single" w:sz="2" w:space="0" w:color="auto" w:frame="1"/>
          <w:lang w:val="en-RO" w:eastAsia="en-GB"/>
          <w14:ligatures w14:val="none"/>
        </w:rPr>
        <w:t>Numai P9RA+ și P10R+</w:t>
      </w:r>
    </w:p>
    <w:p w14:paraId="7523F59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w:t>
      </w:r>
    </w:p>
    <w:p w14:paraId="7F928E3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Volumul este blocat la poziția fizică a butonului de volum</w:t>
      </w:r>
    </w:p>
    <w:p w14:paraId="3467539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lastRenderedPageBreak/>
        <w:t>Presetare egalizator de intrare ( EQPre )</w:t>
      </w:r>
    </w:p>
    <w:p w14:paraId="7AFD84F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Egalizatorul de intrare afectează semnalul după ce este trimis către receptor, dar înainte de ieșirea pentru căști, modificând sunetul general al întregului sistem.</w:t>
      </w:r>
    </w:p>
    <w:p w14:paraId="6AE2E6C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Potrivire (implicit)</w:t>
      </w:r>
    </w:p>
    <w:p w14:paraId="1DBC1B1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Potrivește răspunsul în frecvență al receptoarelor PSM vechi, permițând potrivirea sunetului cu configurații cu inventar mixt</w:t>
      </w:r>
    </w:p>
    <w:p w14:paraId="5468F1A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Plat</w:t>
      </w:r>
    </w:p>
    <w:p w14:paraId="590AECB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Oferă o curbă de răspuns în frecvență plată</w:t>
      </w:r>
    </w:p>
    <w:p w14:paraId="1327A43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Dezactivat</w:t>
      </w:r>
    </w:p>
    <w:p w14:paraId="72D377E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Sunetul ocolește egalizatorul de intrare</w:t>
      </w:r>
    </w:p>
    <w:p w14:paraId="35AB629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Echilibru ( BAL ST / BAL MIX )</w:t>
      </w:r>
    </w:p>
    <w:p w14:paraId="0AF1D89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 Butoane</w:t>
      </w:r>
    </w:p>
    <w:p w14:paraId="7B0F6A0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Balans stânga și dreapta pentru căști în modul stereo sau mixaj al canalului stâng și drept pentru MixMode</w:t>
      </w:r>
    </w:p>
    <w:p w14:paraId="19647A5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Utilitare și setări de afișare</w:t>
      </w:r>
    </w:p>
    <w:p w14:paraId="3EB5708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Accesați următoarele setări din meniul UTILITARE .</w:t>
      </w:r>
    </w:p>
    <w:p w14:paraId="51AAFBF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UTILITĂȚI</w:t>
      </w:r>
    </w:p>
    <w:p w14:paraId="2790A4B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CUEMODE</w:t>
      </w:r>
    </w:p>
    <w:p w14:paraId="730C01F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Intră în CUEMODE (pentru a ieși, apăsați Enter și selectați EXIT CUEMODE )</w:t>
      </w:r>
    </w:p>
    <w:p w14:paraId="2EB3E90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AFIŞA</w:t>
      </w:r>
    </w:p>
    <w:p w14:paraId="4700517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Modificarea setărilor de afișare pe dispozitivul bodypack</w:t>
      </w:r>
    </w:p>
    <w:p w14:paraId="72432A5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CONTRAST</w:t>
      </w:r>
    </w:p>
    <w:p w14:paraId="15BBFDB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Setează luminozitatea afișajului la mare, mică sau medie.</w:t>
      </w:r>
    </w:p>
    <w:p w14:paraId="6801DCB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PANOU DE BLOCARE</w:t>
      </w:r>
    </w:p>
    <w:p w14:paraId="2A7CC33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Blochează toate comenzile, cu excepția butonului de pornire și volum. Pentru a debloca, apăsați pe Exit (Ieșire) , selectați OFF (OPRIT ) și apăsați pe Enter .</w:t>
      </w:r>
    </w:p>
    <w:p w14:paraId="0F59654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BATERIE</w:t>
      </w:r>
    </w:p>
    <w:p w14:paraId="738E2D6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Afișează următoarele: Ore: Min rămase , temperatură , Stare , Număr de cicluri și Sănătate .</w:t>
      </w:r>
    </w:p>
    <w:p w14:paraId="3070AA8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RESTABILI</w:t>
      </w:r>
    </w:p>
    <w:p w14:paraId="6D49C17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Readuce receptorul la setările implicite din fabrică.</w:t>
      </w:r>
    </w:p>
    <w:p w14:paraId="41910C8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Configurare sistem multiplu</w:t>
      </w:r>
    </w:p>
    <w:p w14:paraId="749AD71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Când configurați mai multe sisteme, desemnați un singur bodypack pentru a scana frecvențele disponibile și a le descărca pe toate unitățile rack.</w:t>
      </w:r>
    </w:p>
    <w:p w14:paraId="733A2F5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Corpul pachetului trebuie să fie din aceeași bandă de frecvență ca toate emițătoarele.</w:t>
      </w:r>
    </w:p>
    <w:p w14:paraId="1A383B30"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Porniți toate unitățile rack. </w:t>
      </w:r>
      <w:r w:rsidRPr="00EF2922">
        <w:rPr>
          <w:rFonts w:ascii="Arial" w:eastAsia="Times New Roman" w:hAnsi="Arial" w:cs="Arial"/>
          <w:b/>
          <w:bCs/>
          <w:color w:val="000000"/>
          <w:spacing w:val="2"/>
          <w:kern w:val="0"/>
          <w:bdr w:val="single" w:sz="2" w:space="0" w:color="auto" w:frame="1"/>
          <w:lang w:val="en-RO" w:eastAsia="en-GB"/>
          <w14:ligatures w14:val="none"/>
        </w:rPr>
        <w:t>Opriți RF-ul</w:t>
      </w:r>
      <w:r w:rsidRPr="00EF2922">
        <w:rPr>
          <w:rFonts w:ascii="Arial" w:eastAsia="Times New Roman" w:hAnsi="Arial" w:cs="Arial"/>
          <w:color w:val="000000"/>
          <w:spacing w:val="2"/>
          <w:kern w:val="0"/>
          <w:bdr w:val="single" w:sz="2" w:space="0" w:color="auto" w:frame="1"/>
          <w:lang w:val="en-RO" w:eastAsia="en-GB"/>
          <w14:ligatures w14:val="none"/>
        </w:rPr>
        <w:t> . (Acest lucru le împiedică să interfereze cu scanarea de frecvență.)</w:t>
      </w:r>
    </w:p>
    <w:p w14:paraId="7A4354A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Porniți toate celelalte dispozitive wireless sau digitale așa </w:t>
      </w:r>
      <w:r w:rsidRPr="00EF2922">
        <w:rPr>
          <w:rFonts w:ascii="Arial" w:eastAsia="Times New Roman" w:hAnsi="Arial" w:cs="Arial"/>
          <w:b/>
          <w:bCs/>
          <w:color w:val="000000"/>
          <w:spacing w:val="2"/>
          <w:kern w:val="0"/>
          <w:bdr w:val="single" w:sz="2" w:space="0" w:color="auto" w:frame="1"/>
          <w:lang w:val="en-RO" w:eastAsia="en-GB"/>
          <w14:ligatures w14:val="none"/>
        </w:rPr>
        <w:t>cum</w:t>
      </w:r>
      <w:r w:rsidRPr="00EF2922">
        <w:rPr>
          <w:rFonts w:ascii="Arial" w:eastAsia="Times New Roman" w:hAnsi="Arial" w:cs="Arial"/>
          <w:color w:val="000000"/>
          <w:spacing w:val="2"/>
          <w:kern w:val="0"/>
          <w:bdr w:val="single" w:sz="2" w:space="0" w:color="auto" w:frame="1"/>
          <w:lang w:val="en-RO" w:eastAsia="en-GB"/>
          <w14:ligatures w14:val="none"/>
        </w:rPr>
        <w:t> ar fi în timpul spectacolului sau prezentării (astfel încât scanarea să detecteze și să evite orice interferență generată de acestea).</w:t>
      </w:r>
    </w:p>
    <w:p w14:paraId="0413C864"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casca de bodypack pentru a </w:t>
      </w:r>
      <w:r w:rsidRPr="00EF2922">
        <w:rPr>
          <w:rFonts w:ascii="Arial" w:eastAsia="Times New Roman" w:hAnsi="Arial" w:cs="Arial"/>
          <w:b/>
          <w:bCs/>
          <w:color w:val="000000"/>
          <w:spacing w:val="2"/>
          <w:kern w:val="0"/>
          <w:bdr w:val="single" w:sz="2" w:space="0" w:color="auto" w:frame="1"/>
          <w:lang w:val="en-RO" w:eastAsia="en-GB"/>
          <w14:ligatures w14:val="none"/>
        </w:rPr>
        <w:t>scana un grup</w:t>
      </w:r>
      <w:r w:rsidRPr="00EF2922">
        <w:rPr>
          <w:rFonts w:ascii="Arial" w:eastAsia="Times New Roman" w:hAnsi="Arial" w:cs="Arial"/>
          <w:color w:val="000000"/>
          <w:spacing w:val="2"/>
          <w:kern w:val="0"/>
          <w:bdr w:val="single" w:sz="2" w:space="0" w:color="auto" w:frame="1"/>
          <w:lang w:val="en-RO" w:eastAsia="en-GB"/>
          <w14:ligatures w14:val="none"/>
        </w:rPr>
        <w:t> apăsând și ținând apăsat butonul de scanare timp de </w:t>
      </w:r>
      <w:r w:rsidRPr="00EF2922">
        <w:rPr>
          <w:rFonts w:ascii="Arial" w:eastAsia="Times New Roman" w:hAnsi="Arial" w:cs="Arial"/>
          <w:b/>
          <w:bCs/>
          <w:color w:val="000000"/>
          <w:spacing w:val="2"/>
          <w:kern w:val="0"/>
          <w:bdr w:val="single" w:sz="2" w:space="0" w:color="auto" w:frame="1"/>
          <w:lang w:val="en-RO" w:eastAsia="en-GB"/>
          <w14:ligatures w14:val="none"/>
        </w:rPr>
        <w:t>două secunde</w:t>
      </w:r>
      <w:r w:rsidRPr="00EF2922">
        <w:rPr>
          <w:rFonts w:ascii="Arial" w:eastAsia="Times New Roman" w:hAnsi="Arial" w:cs="Arial"/>
          <w:color w:val="000000"/>
          <w:spacing w:val="2"/>
          <w:kern w:val="0"/>
          <w:bdr w:val="single" w:sz="2" w:space="0" w:color="auto" w:frame="1"/>
          <w:lang w:val="en-RO" w:eastAsia="en-GB"/>
          <w14:ligatures w14:val="none"/>
        </w:rPr>
        <w:t> . Casca de bodypack afișează grupul și numărul de canale disponibile și clipește SYNC ACUM... (SINCRONIZARE ACUM... ).</w:t>
      </w:r>
    </w:p>
    <w:p w14:paraId="05FB548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Important:</w:t>
      </w:r>
      <w:r w:rsidRPr="00EF2922">
        <w:rPr>
          <w:rFonts w:ascii="Arial" w:eastAsia="Times New Roman" w:hAnsi="Arial" w:cs="Arial"/>
          <w:color w:val="000000"/>
          <w:spacing w:val="2"/>
          <w:kern w:val="0"/>
          <w:bdr w:val="single" w:sz="2" w:space="0" w:color="auto" w:frame="1"/>
          <w:lang w:val="en-RO" w:eastAsia="en-GB"/>
          <w14:ligatures w14:val="none"/>
        </w:rPr>
        <w:t> Rețineți numărul de canale disponibile. Dacă aveți mai multe unități rack decât canale disponibile, eliminați potențialele surse de interferență și încercați din nou sau apelați la Shure Applications pentru asistență.</w:t>
      </w:r>
    </w:p>
    <w:p w14:paraId="15E5D133"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Sincronizați bodypack-ul cu prima unitate rack aliniind ferestrele IR și apăsând butonul de sincronizare .</w:t>
      </w:r>
    </w:p>
    <w:p w14:paraId="2C97606E"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din nou butonul de scanare de pe receptorul de mână pentru a găsi următoarea frecvență disponibilă.</w:t>
      </w:r>
    </w:p>
    <w:p w14:paraId="465B19B4"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Sincronizează bodypack-ul cu următoarea unitate rack.</w:t>
      </w:r>
    </w:p>
    <w:p w14:paraId="2FF5DBA5"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Repetați cu toate unitățile rack.</w:t>
      </w:r>
    </w:p>
    <w:p w14:paraId="05F806D6"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Sincronizați bodypack-ul fiecărui interpret cu unitatea rack respectivă aliniind ferestrele IR și apăsând snyc . NU apăsați scan pe bodypack-uri.</w:t>
      </w:r>
    </w:p>
    <w:p w14:paraId="172AF492" w14:textId="77777777" w:rsidR="00EF2922" w:rsidRPr="00EF2922" w:rsidRDefault="00EF2922" w:rsidP="00EF2922">
      <w:pPr>
        <w:numPr>
          <w:ilvl w:val="0"/>
          <w:numId w:val="1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Porniți semnalul RF pe toate unitățile rack. Sistemele sunt gata de utilizare.</w:t>
      </w:r>
    </w:p>
    <w:p w14:paraId="65F53AB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lastRenderedPageBreak/>
        <w:t>CueMode</w:t>
      </w:r>
    </w:p>
    <w:p w14:paraId="0BD94DE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CueMode vă permite să încărcați setările de nume și frecvență de pe mai multe unități rack și să le stocați ca o listă pe un singur bodypack. Apoi, puteți derula oricând prin acea listă pentru a asculta mixajul audio de la fiecare transmițător, la fel cum face fiecare interpret în timpul unui spectacol.</w:t>
      </w:r>
    </w:p>
    <w:p w14:paraId="2A8D5F5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Listele CueMode sunt păstrate chiar dacă se părăsește CueMode, se oprește bodypack-ul sau se scot bateriile.</w:t>
      </w:r>
    </w:p>
    <w:p w14:paraId="0C8F8C1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Setați frecvența canalului și atribuiți nume de afișare pentru fiecare transmițător </w:t>
      </w:r>
      <w:r w:rsidRPr="00EF2922">
        <w:rPr>
          <w:rFonts w:ascii="Arial" w:eastAsia="Times New Roman" w:hAnsi="Arial" w:cs="Arial"/>
          <w:b/>
          <w:bCs/>
          <w:color w:val="000000"/>
          <w:spacing w:val="2"/>
          <w:kern w:val="0"/>
          <w:bdr w:val="single" w:sz="2" w:space="0" w:color="auto" w:frame="1"/>
          <w:lang w:val="en-RO" w:eastAsia="en-GB"/>
          <w14:ligatures w14:val="none"/>
        </w:rPr>
        <w:t>înainte de</w:t>
      </w:r>
      <w:r w:rsidRPr="00EF2922">
        <w:rPr>
          <w:rFonts w:ascii="Arial" w:eastAsia="Times New Roman" w:hAnsi="Arial" w:cs="Arial"/>
          <w:color w:val="000000"/>
          <w:spacing w:val="2"/>
          <w:kern w:val="0"/>
          <w:bdr w:val="single" w:sz="2" w:space="0" w:color="auto" w:frame="1"/>
          <w:lang w:val="en-RO" w:eastAsia="en-GB"/>
          <w14:ligatures w14:val="none"/>
        </w:rPr>
        <w:t> a crea lista CueMode.</w:t>
      </w:r>
    </w:p>
    <w:p w14:paraId="79FCF42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Adăugarea emițătoarelor la lista CueMode</w:t>
      </w:r>
    </w:p>
    <w:p w14:paraId="782FCB7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Transmițătorul trebuie să fie din aceeași bandă de frecvență ca și dispozitivul de purtare cu cască.</w:t>
      </w:r>
    </w:p>
    <w:p w14:paraId="5C9E91B0" w14:textId="77777777" w:rsidR="00EF2922" w:rsidRPr="00EF2922" w:rsidRDefault="00EF2922" w:rsidP="00EF2922">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Deschideți ușa bateriei și apăsați butonul Enter .</w:t>
      </w:r>
    </w:p>
    <w:p w14:paraId="4A4802F3" w14:textId="77777777" w:rsidR="00EF2922" w:rsidRPr="00EF2922" w:rsidRDefault="00EF2922" w:rsidP="00EF2922">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Din meniul principal, derulați la UTILITIES și apăsați Enter . Selectați CueMode  și apăsați din nou Enter .</w:t>
      </w:r>
    </w:p>
    <w:p w14:paraId="47A60157" w14:textId="77777777" w:rsidR="00EF2922" w:rsidRPr="00EF2922" w:rsidRDefault="00EF2922" w:rsidP="00EF2922">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Aliniați ferestrele IR și apăsați butonul de sincronizare de pe unitatea rack.</w:t>
      </w:r>
    </w:p>
    <w:p w14:paraId="468E310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Ecranul LCD afișează SYNC SUCCESS (SINCRONIZARE REUȘITĂ)  după ce datele de frecvență și nume sunt încărcate în lista CueMode. De asemenea, afișează numărul CueMode pentru emițătorul respectiv și numărul total de emițătoare.</w:t>
      </w:r>
    </w:p>
    <w:p w14:paraId="57FB01BA" w14:textId="77777777" w:rsidR="00EF2922" w:rsidRPr="00EF2922" w:rsidRDefault="00EF2922" w:rsidP="00EF2922">
      <w:pPr>
        <w:numPr>
          <w:ilvl w:val="0"/>
          <w:numId w:val="1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Repetați pasul de mai sus pentru fiecare transmițător.</w:t>
      </w:r>
    </w:p>
    <w:p w14:paraId="537E1AE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Sincronizarea în modul CueMode nu modifică nicio setări de pe bodypack.</w:t>
      </w:r>
    </w:p>
    <w:p w14:paraId="27DB040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Mixuri de audiție</w:t>
      </w:r>
    </w:p>
    <w:p w14:paraId="18377BC2" w14:textId="77777777" w:rsidR="00EF2922" w:rsidRPr="00EF2922" w:rsidRDefault="00EF2922" w:rsidP="00EF2922">
      <w:pPr>
        <w:numPr>
          <w:ilvl w:val="0"/>
          <w:numId w:val="1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Accesați CueMode din meniul UTILITIES .</w:t>
      </w:r>
    </w:p>
    <w:p w14:paraId="23937FD2" w14:textId="77777777" w:rsidR="00EF2922" w:rsidRPr="00EF2922" w:rsidRDefault="00EF2922" w:rsidP="00EF2922">
      <w:pPr>
        <w:numPr>
          <w:ilvl w:val="0"/>
          <w:numId w:val="1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Folosește butoanele ▼▲ pentru a derula prin lista CueMode și a asculta mixajele.</w:t>
      </w:r>
    </w:p>
    <w:p w14:paraId="6C9B538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Ieșirea din CueMode</w:t>
      </w:r>
    </w:p>
    <w:p w14:paraId="1DE17E9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Ieșiți din CueMode apăsând Enter și selectând EXIT CUEMODE .</w:t>
      </w:r>
    </w:p>
    <w:p w14:paraId="6EC291C4"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lastRenderedPageBreak/>
        <w:t>Gestionarea mixajelor CueMode</w:t>
      </w:r>
    </w:p>
    <w:p w14:paraId="395EF26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 modul Cue, puteți accesa următorul meniu apăsând Enter :</w:t>
      </w:r>
    </w:p>
    <w:p w14:paraId="0A86505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ÎNLOCUIRE MIX</w:t>
      </w:r>
    </w:p>
    <w:p w14:paraId="5DC48A7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Selectați și apăsați butonul de sincronizare pe o unitate rack pentru a încărca date noi pentru mixajul curent (de exemplu, dacă ați modificat frecvența transmițătorului).</w:t>
      </w:r>
    </w:p>
    <w:p w14:paraId="5801034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ȘTERGE MIXUL</w:t>
      </w:r>
    </w:p>
    <w:p w14:paraId="39E75A9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Elimină mixajul selectat.</w:t>
      </w:r>
    </w:p>
    <w:p w14:paraId="7B8A20B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ȘTERGE TOT</w:t>
      </w:r>
    </w:p>
    <w:p w14:paraId="7D1748C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Elimină toate amestecurile.</w:t>
      </w:r>
    </w:p>
    <w:p w14:paraId="0150E5A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IEȘIRE MOD CUE</w:t>
      </w:r>
    </w:p>
    <w:p w14:paraId="1785D61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Ieșire din CueMode și readuce microfonul la setarea anterioară de frecvență.</w:t>
      </w:r>
    </w:p>
    <w:p w14:paraId="0471DA5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Scanare de frecvență</w:t>
      </w:r>
    </w:p>
    <w:p w14:paraId="1ED2E9C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Folosește o scanare de frecvență pentru a analiza mediul RF pentru interferențe și a identifica frecvențele disponibile.</w:t>
      </w:r>
    </w:p>
    <w:p w14:paraId="1C5E69A5" w14:textId="77777777" w:rsidR="00EF2922" w:rsidRPr="00EF2922" w:rsidRDefault="00EF2922" w:rsidP="00EF2922">
      <w:pPr>
        <w:numPr>
          <w:ilvl w:val="0"/>
          <w:numId w:val="1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Scanare canale</w:t>
      </w:r>
      <w:r w:rsidRPr="00EF2922">
        <w:rPr>
          <w:rFonts w:ascii="Arial" w:eastAsia="Times New Roman" w:hAnsi="Arial" w:cs="Arial"/>
          <w:color w:val="000000"/>
          <w:spacing w:val="2"/>
          <w:kern w:val="0"/>
          <w:bdr w:val="single" w:sz="2" w:space="0" w:color="auto" w:frame="1"/>
          <w:lang w:val="en-RO" w:eastAsia="en-GB"/>
          <w14:ligatures w14:val="none"/>
        </w:rPr>
        <w:t> Apăsați butonul de scanare de pe receptor. Găsește primul canal disponibil.</w:t>
      </w:r>
    </w:p>
    <w:p w14:paraId="6D079693" w14:textId="77777777" w:rsidR="00EF2922" w:rsidRPr="00EF2922" w:rsidRDefault="00EF2922" w:rsidP="00EF2922">
      <w:pPr>
        <w:numPr>
          <w:ilvl w:val="0"/>
          <w:numId w:val="15"/>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Scanare grup</w:t>
      </w:r>
      <w:r w:rsidRPr="00EF2922">
        <w:rPr>
          <w:rFonts w:ascii="Arial" w:eastAsia="Times New Roman" w:hAnsi="Arial" w:cs="Arial"/>
          <w:color w:val="000000"/>
          <w:spacing w:val="2"/>
          <w:kern w:val="0"/>
          <w:bdr w:val="single" w:sz="2" w:space="0" w:color="auto" w:frame="1"/>
          <w:lang w:val="en-RO" w:eastAsia="en-GB"/>
          <w14:ligatures w14:val="none"/>
        </w:rPr>
        <w:t> Apăsați și mențineți apăsat butonul de scanare timp de două secunde. Găsește grupul cu cel mai mare număr de canale disponibile. (Fiecare grup conține un set de frecvențe compatibile atunci când se operează mai multe sisteme în același mediu.)</w:t>
      </w:r>
    </w:p>
    <w:p w14:paraId="57286D5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Când efectuați o scanare de frecvență:</w:t>
      </w:r>
    </w:p>
    <w:p w14:paraId="44F876DB" w14:textId="77777777" w:rsidR="00EF2922" w:rsidRPr="00EF2922" w:rsidRDefault="00EF2922" w:rsidP="00EF2922">
      <w:pPr>
        <w:numPr>
          <w:ilvl w:val="0"/>
          <w:numId w:val="1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Dezactivați</w:t>
      </w:r>
      <w:r w:rsidRPr="00EF2922">
        <w:rPr>
          <w:rFonts w:ascii="Arial" w:eastAsia="Times New Roman" w:hAnsi="Arial" w:cs="Arial"/>
          <w:color w:val="000000"/>
          <w:spacing w:val="2"/>
          <w:kern w:val="0"/>
          <w:bdr w:val="single" w:sz="2" w:space="0" w:color="auto" w:frame="1"/>
          <w:lang w:val="en-RO" w:eastAsia="en-GB"/>
          <w14:ligatures w14:val="none"/>
        </w:rPr>
        <w:t> frecvențele RF de pe emițătoarele sistemelor pe care le configurați. (Acest lucru împiedică interferența acestora cu scanarea frecvenței.)</w:t>
      </w:r>
    </w:p>
    <w:p w14:paraId="0AF482E2" w14:textId="77777777" w:rsidR="00EF2922" w:rsidRPr="00EF2922" w:rsidRDefault="00EF2922" w:rsidP="00EF2922">
      <w:pPr>
        <w:numPr>
          <w:ilvl w:val="0"/>
          <w:numId w:val="16"/>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Activați</w:t>
      </w:r>
      <w:r w:rsidRPr="00EF2922">
        <w:rPr>
          <w:rFonts w:ascii="Arial" w:eastAsia="Times New Roman" w:hAnsi="Arial" w:cs="Arial"/>
          <w:color w:val="000000"/>
          <w:spacing w:val="2"/>
          <w:kern w:val="0"/>
          <w:bdr w:val="single" w:sz="2" w:space="0" w:color="auto" w:frame="1"/>
          <w:lang w:val="en-RO" w:eastAsia="en-GB"/>
          <w14:ligatures w14:val="none"/>
        </w:rPr>
        <w:t xml:space="preserve"> sursele potențiale de interferență, cum ar fi alte sisteme sau dispozitive wireless, computere, playere CD, panouri LED mari, procesoare de efecte și echipamente digitale rack, astfel încât acestea să funcționeze așa cum ar funcționa în timpul prezentării sau </w:t>
      </w:r>
      <w:r w:rsidRPr="00EF2922">
        <w:rPr>
          <w:rFonts w:ascii="Arial" w:eastAsia="Times New Roman" w:hAnsi="Arial" w:cs="Arial"/>
          <w:color w:val="000000"/>
          <w:spacing w:val="2"/>
          <w:kern w:val="0"/>
          <w:bdr w:val="single" w:sz="2" w:space="0" w:color="auto" w:frame="1"/>
          <w:lang w:val="en-RO" w:eastAsia="en-GB"/>
          <w14:ligatures w14:val="none"/>
        </w:rPr>
        <w:lastRenderedPageBreak/>
        <w:t>spectacolului (astfel încât scanarea să detecteze și să evite orice interferență pe care o generează).</w:t>
      </w:r>
    </w:p>
    <w:p w14:paraId="614DCAF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Sincronizare</w:t>
      </w:r>
    </w:p>
    <w:p w14:paraId="0070BF7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Puteți transfera setările de frecvență în ambele direcții: de la bodypack la unitatea rack sau de la unitatea rack la bodypack.</w:t>
      </w:r>
    </w:p>
    <w:p w14:paraId="006E58F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De asemenea, puteți alege să transferați alte setări către dispozitivul bodypack în timpul unei sincronizări, cum ar fi setările de blocare sau mod, utilizând meniul </w:t>
      </w:r>
      <w:r w:rsidRPr="00EF2922">
        <w:rPr>
          <w:rFonts w:ascii="Menlo" w:eastAsia="Times New Roman" w:hAnsi="Menlo" w:cs="Menlo"/>
          <w:color w:val="000000"/>
          <w:spacing w:val="2"/>
          <w:kern w:val="0"/>
          <w:bdr w:val="single" w:sz="2" w:space="0" w:color="auto" w:frame="1"/>
          <w:lang w:val="en-RO" w:eastAsia="en-GB"/>
          <w14:ligatures w14:val="none"/>
        </w:rPr>
        <w:t>Sync</w:t>
      </w:r>
      <w:r w:rsidRPr="00EF2922">
        <w:rPr>
          <w:rFonts w:ascii="Arial" w:eastAsia="Times New Roman" w:hAnsi="Arial" w:cs="Arial"/>
          <w:color w:val="000000"/>
          <w:spacing w:val="2"/>
          <w:kern w:val="0"/>
          <w:bdr w:val="single" w:sz="2" w:space="0" w:color="auto" w:frame="1"/>
          <w:lang w:val="en-RO" w:eastAsia="en-GB"/>
          <w14:ligatures w14:val="none"/>
        </w:rPr>
        <w:t>&gt;</w:t>
      </w:r>
      <w:r w:rsidRPr="00EF2922">
        <w:rPr>
          <w:rFonts w:ascii="Menlo" w:eastAsia="Times New Roman" w:hAnsi="Menlo" w:cs="Menlo"/>
          <w:color w:val="000000"/>
          <w:spacing w:val="2"/>
          <w:kern w:val="0"/>
          <w:bdr w:val="single" w:sz="2" w:space="0" w:color="auto" w:frame="1"/>
          <w:lang w:val="en-RO" w:eastAsia="en-GB"/>
          <w14:ligatures w14:val="none"/>
        </w:rPr>
        <w:t>RxSetup</w:t>
      </w:r>
      <w:r w:rsidRPr="00EF2922">
        <w:rPr>
          <w:rFonts w:ascii="Arial" w:eastAsia="Times New Roman" w:hAnsi="Arial" w:cs="Arial"/>
          <w:color w:val="000000"/>
          <w:spacing w:val="2"/>
          <w:kern w:val="0"/>
          <w:bdr w:val="single" w:sz="2" w:space="0" w:color="auto" w:frame="1"/>
          <w:lang w:val="en-RO" w:eastAsia="en-GB"/>
          <w14:ligatures w14:val="none"/>
        </w:rPr>
        <w:t> de pe transmițătorul rack.</w:t>
      </w:r>
    </w:p>
    <w:p w14:paraId="245753D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Descărcarea setărilor de pe dispozitivul bodypack</w:t>
      </w:r>
    </w:p>
    <w:p w14:paraId="45395F13" w14:textId="77777777" w:rsidR="00EF2922" w:rsidRPr="00EF2922" w:rsidRDefault="00EF2922" w:rsidP="00EF2922">
      <w:pPr>
        <w:numPr>
          <w:ilvl w:val="0"/>
          <w:numId w:val="1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butonul de scanare de pe bodypack.</w:t>
      </w:r>
    </w:p>
    <w:p w14:paraId="45012AEA" w14:textId="77777777" w:rsidR="00EF2922" w:rsidRPr="00EF2922" w:rsidRDefault="00EF2922" w:rsidP="00EF2922">
      <w:pPr>
        <w:numPr>
          <w:ilvl w:val="0"/>
          <w:numId w:val="17"/>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Aliniați ferestrele IR și apăsați butonul de sincronizare din meniul LCD al transmițătorului rack în timp ce afișajul bodypack clipește „SYNC NOW...” .</w:t>
      </w:r>
    </w:p>
    <w:p w14:paraId="58D82E6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LED-urile de nivel de pe unitatea rack clipesc.</w:t>
      </w:r>
    </w:p>
    <w:p w14:paraId="7879AFC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Trimiterea setărilor către dispozitivul de bodypack</w:t>
      </w:r>
    </w:p>
    <w:p w14:paraId="6F59A7F4" w14:textId="77777777" w:rsidR="00EF2922" w:rsidRPr="00EF2922" w:rsidRDefault="00EF2922" w:rsidP="00EF2922">
      <w:pPr>
        <w:numPr>
          <w:ilvl w:val="0"/>
          <w:numId w:val="1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butonul Sync de pe transmițătorul de rack pentru a accesa meniul de sincronizare.</w:t>
      </w:r>
    </w:p>
    <w:p w14:paraId="5D8D3818" w14:textId="77777777" w:rsidR="00EF2922" w:rsidRPr="00EF2922" w:rsidRDefault="00EF2922" w:rsidP="00EF2922">
      <w:pPr>
        <w:numPr>
          <w:ilvl w:val="0"/>
          <w:numId w:val="1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Aliniați ferestrele IR.</w:t>
      </w:r>
    </w:p>
    <w:p w14:paraId="0DADE5A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Când este aliniată corect, fereastra IR de pe emițător se aprinde.</w:t>
      </w:r>
    </w:p>
    <w:p w14:paraId="635132CE" w14:textId="77777777" w:rsidR="00EF2922" w:rsidRPr="00EF2922" w:rsidRDefault="00EF2922" w:rsidP="00EF2922">
      <w:pPr>
        <w:numPr>
          <w:ilvl w:val="0"/>
          <w:numId w:val="18"/>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Apăsați Sincronizare pentru a transfera setările.</w:t>
      </w:r>
    </w:p>
    <w:p w14:paraId="3D16E69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LED-ul albastru de pe dispozitivul de bodypack clipește.</w:t>
      </w:r>
    </w:p>
    <w:p w14:paraId="329851C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Mod Mix</w:t>
      </w:r>
    </w:p>
    <w:p w14:paraId="1886C20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Unii interpreți au nevoie să audă mai mult din propria voce sau instrument, în timp ce alții vor să audă mai mult din trupă. Cu MixMode, interpretul își creează propriul mixaj folosind controlul balansului (butoanele ▼▲) de pe bodypack.</w:t>
      </w:r>
    </w:p>
    <w:p w14:paraId="04CE1B8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a utiliza MixMode, trimiteți un mix solo al interpretului la intrarea L/CH1 a transmițătorului și trimiteți un mix de trupă la intrarea R/CH2 .</w:t>
      </w:r>
    </w:p>
    <w:p w14:paraId="7202B81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Setați dispozitivul bodypack al interpretului pentru MixMode. Dispozitivul bodypack combină cele două semnale și le trimite către ambele căști, în timp ce controlul balansului de pe dispozitivul bodypack ajustează nivelurile relative pentru fiecare.</w:t>
      </w:r>
    </w:p>
    <w:p w14:paraId="6D5E724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aplicațiile IFB, trimiteți două semnale de program independente în intrarea L/CH1 și R/CH2 a transmițătorului. Cu MixMode, regizorul sau artistul de transmisie poate asculta oricare dintre semnale folosind controlul balansului (butoanele ▼▲) de pe bodypack pentru a comuta la oricare dintre semnalele audio.</w:t>
      </w:r>
    </w:p>
    <w:p w14:paraId="5B53C32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Aplicații LOOP</w:t>
      </w:r>
    </w:p>
    <w:p w14:paraId="377348A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Folosiți ieșirile LOOP OUT L (stânga) și R (dreapta) pentru a trimite o copie a semnalului audio care intră în transmițător către alte dispozitive. În continuare sunt prezentate câteva dintre numeroasele aplicații pentru aceste ieșiri.</w:t>
      </w:r>
    </w:p>
    <w:p w14:paraId="5CB7D89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Controlul nivelului de intrare și pad-ul de intrare nu afectează semnalele LOOP OUT .</w:t>
      </w:r>
    </w:p>
    <w:p w14:paraId="13FCADC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MixMode pentru sisteme multiple</w:t>
      </w:r>
    </w:p>
    <w:p w14:paraId="5FA2DF5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Configurați fiecare sistem pentru MixMode. Din consola de mixaj, trimiteți un mix al întregii benzi la intrarea 2 a primului transmițător. Conectați ieșirea LOOP OUT R la intrarea R/CH2 a următorului transmițător. Continuați lanțul cu toate transmițătoarele.</w:t>
      </w:r>
    </w:p>
    <w:p w14:paraId="065DF93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Apoi, creați mixaje solo pentru fiecare interpret. Trimiteți fiecare mixaj la intrarea 1 a transmițătorului pentru interpretul respectiv.</w:t>
      </w:r>
    </w:p>
    <w:p w14:paraId="5E2ECE8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Monitoare de podea</w:t>
      </w:r>
    </w:p>
    <w:p w14:paraId="44B6148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Trimiteți semnalul audio de la ieșirile LOOP către difuzoarele de pe scenă. Bodypack-ul și monitoarele de pe scenă primesc aceleași semnale audio.</w:t>
      </w:r>
    </w:p>
    <w:p w14:paraId="183EE9D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Notă: Ieșirile audio LOOP nu vor alimenta difuzoare pasive și trebuie trimise către un amplificator de putere sau un difuzor activ.</w:t>
      </w:r>
    </w:p>
    <w:p w14:paraId="409ECD8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Dispozitive de înregistrare</w:t>
      </w:r>
    </w:p>
    <w:p w14:paraId="273F92C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a înregistra o interpretare, conectați ieșirile LOOP la intrările unui dispozitiv de înregistrare.</w:t>
      </w:r>
    </w:p>
    <w:p w14:paraId="4CEDC05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lastRenderedPageBreak/>
        <w:t>Squelch</w:t>
      </w:r>
    </w:p>
    <w:p w14:paraId="57F9B03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Funcția Squelch dezactivează ieșirea audio de la bodypack atunci când semnalul RF devine zgomotos. În timp ce squelch-ul este activat, LED-ul albastru de pe bodypack se stinge.</w:t>
      </w:r>
    </w:p>
    <w:p w14:paraId="20E9EE3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 majoritatea instalațiilor, squelch-ul nu necesită ajustare și împiedică artistul să audă șuierat sau rafale de zgomot dacă semnalul RF este compromis. Cu toate acestea, în medii RF aglomerate sau în imediata apropiere a surselor de interferență RF (cum ar fi panouri video LED mari), squelch-ul poate necesita reducerea acestuia pentru a preveni pierderile excesive de sunet. Cu setări de squelch mai mici, artistul poate auzi mai mult zgomot sau șuierat, dar va experimenta mai puține pierderi de sunet.</w:t>
      </w:r>
    </w:p>
    <w:p w14:paraId="4963C13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Important:</w:t>
      </w:r>
      <w:r w:rsidRPr="00EF2922">
        <w:rPr>
          <w:rFonts w:ascii="Arial" w:eastAsia="Times New Roman" w:hAnsi="Arial" w:cs="Arial"/>
          <w:color w:val="000000"/>
          <w:spacing w:val="2"/>
          <w:kern w:val="0"/>
          <w:bdr w:val="single" w:sz="2" w:space="0" w:color="auto" w:frame="1"/>
          <w:lang w:val="en-RO" w:eastAsia="en-GB"/>
          <w14:ligatures w14:val="none"/>
        </w:rPr>
        <w:t> Înainte de a reduce squelch-ul, încercați mai întâi să eliminați problema găsind cel mai bun set de frecvențe pentru instalația dvs. și eliminând potențialele surse de interferență.</w:t>
      </w:r>
    </w:p>
    <w:p w14:paraId="12F7442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Atenție:</w:t>
      </w:r>
      <w:r w:rsidRPr="00EF2922">
        <w:rPr>
          <w:rFonts w:ascii="Arial" w:eastAsia="Times New Roman" w:hAnsi="Arial" w:cs="Arial"/>
          <w:color w:val="000000"/>
          <w:spacing w:val="2"/>
          <w:kern w:val="0"/>
          <w:bdr w:val="single" w:sz="2" w:space="0" w:color="auto" w:frame="1"/>
          <w:lang w:val="en-RO" w:eastAsia="en-GB"/>
          <w14:ligatures w14:val="none"/>
        </w:rPr>
        <w:t> Dezactivarea sau reducerea setării de squelch poate crește nivelul de zgomot și poate cauza disconfort artistului:</w:t>
      </w:r>
    </w:p>
    <w:p w14:paraId="32FE4D5B" w14:textId="77777777" w:rsidR="00EF2922" w:rsidRPr="00EF2922" w:rsidRDefault="00EF2922" w:rsidP="00EF2922">
      <w:pPr>
        <w:numPr>
          <w:ilvl w:val="0"/>
          <w:numId w:val="1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reduceți setarea de squelch decât dacă este absolut necesar.</w:t>
      </w:r>
    </w:p>
    <w:p w14:paraId="60EA76F2" w14:textId="77777777" w:rsidR="00EF2922" w:rsidRPr="00EF2922" w:rsidRDefault="00EF2922" w:rsidP="00EF2922">
      <w:pPr>
        <w:numPr>
          <w:ilvl w:val="0"/>
          <w:numId w:val="1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Reduceți volumul căștilor la cel mai mic nivel înainte de a regla squelch-ul.</w:t>
      </w:r>
    </w:p>
    <w:p w14:paraId="1DE2086B" w14:textId="77777777" w:rsidR="00EF2922" w:rsidRPr="00EF2922" w:rsidRDefault="00EF2922" w:rsidP="00EF2922">
      <w:pPr>
        <w:numPr>
          <w:ilvl w:val="0"/>
          <w:numId w:val="1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Nu modificați setarea squelch-ului în timpul unei reprezentații.</w:t>
      </w:r>
    </w:p>
    <w:p w14:paraId="0369B6EF" w14:textId="77777777" w:rsidR="00EF2922" w:rsidRPr="00EF2922" w:rsidRDefault="00EF2922" w:rsidP="00EF2922">
      <w:pPr>
        <w:numPr>
          <w:ilvl w:val="0"/>
          <w:numId w:val="19"/>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Măriți nivelul transmițătorului pentru a face zgomotul sau șuieratul mai puțin sesizabil.</w:t>
      </w:r>
    </w:p>
    <w:p w14:paraId="099B9BE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Setări de squelch</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2381"/>
        <w:gridCol w:w="620"/>
        <w:gridCol w:w="6009"/>
      </w:tblGrid>
      <w:tr w:rsidR="00EF2922" w:rsidRPr="00EF2922" w14:paraId="0B69483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1B9E0A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RIDICAT (NORMAL)</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2EBABA0"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623EDD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Setare implicită din fabrică.</w:t>
            </w:r>
          </w:p>
        </w:tc>
      </w:tr>
      <w:tr w:rsidR="00EF2922" w:rsidRPr="00EF2922" w14:paraId="72C98208"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1038B3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MID</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001A4A2"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A15D64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Reduce moderat raportul semnal-zgomot necesar pentru a reduce sunetul receptorului.</w:t>
            </w:r>
          </w:p>
        </w:tc>
      </w:tr>
      <w:tr w:rsidR="00EF2922" w:rsidRPr="00EF2922" w14:paraId="76AFB8D7"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78E67D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SCĂZUT</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D3365F8"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7DBCF6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Reduce considerabil pragul de reducere a zgomotului.</w:t>
            </w:r>
          </w:p>
        </w:tc>
      </w:tr>
      <w:tr w:rsidR="00EF2922" w:rsidRPr="00EF2922" w14:paraId="5B163C3D"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E5312E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NUMAI PILOT*</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40A13D8" w14:textId="79F35FD5"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"https://pubs2-images.prod.shureweb.eu/proxy/graphics/f_5cca22bf-024f-495a-aaa9-ebf260e1f14d-en-US.png"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4EF99050" wp14:editId="3C61407A">
                  <wp:extent cx="203200" cy="203200"/>
                  <wp:effectExtent l="0" t="0" r="0" b="0"/>
                  <wp:docPr id="15042778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1A8281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Dezactivează squelch-ul de zgomot, lăsând activat doar squelch-ul pilot.</w:t>
            </w:r>
          </w:p>
        </w:tc>
      </w:tr>
      <w:tr w:rsidR="00EF2922" w:rsidRPr="00EF2922" w14:paraId="7DB9D978"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F11DA2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FĂRĂ SQUELCH*</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AEC17BC" w14:textId="589D3D82"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lang w:val="en-RO" w:eastAsia="en-GB"/>
                <w14:ligatures w14:val="none"/>
              </w:rPr>
              <w:fldChar w:fldCharType="begin"/>
            </w:r>
            <w:r w:rsidRPr="00EF2922">
              <w:rPr>
                <w:rFonts w:ascii="Arial" w:eastAsia="Times New Roman" w:hAnsi="Arial" w:cs="Arial"/>
                <w:spacing w:val="9"/>
                <w:kern w:val="0"/>
                <w:lang w:val="en-RO" w:eastAsia="en-GB"/>
                <w14:ligatures w14:val="none"/>
              </w:rPr>
              <w:instrText xml:space="preserve"> INCLUDEPICTURE "https://pubs2-images.prod.shureweb.eu/proxy/graphics/f_a14f674a-4316-4465-8316-2b42a549c10a-en-US.png" \* MERGEFORMATINET </w:instrText>
            </w:r>
            <w:r w:rsidRPr="00EF2922">
              <w:rPr>
                <w:rFonts w:ascii="Arial" w:eastAsia="Times New Roman" w:hAnsi="Arial" w:cs="Arial"/>
                <w:spacing w:val="9"/>
                <w:kern w:val="0"/>
                <w:lang w:val="en-RO" w:eastAsia="en-GB"/>
                <w14:ligatures w14:val="none"/>
              </w:rPr>
              <w:fldChar w:fldCharType="separate"/>
            </w:r>
            <w:r w:rsidRPr="00EF2922">
              <w:rPr>
                <w:rFonts w:ascii="Arial" w:eastAsia="Times New Roman" w:hAnsi="Arial" w:cs="Arial"/>
                <w:noProof/>
                <w:spacing w:val="9"/>
                <w:kern w:val="0"/>
                <w:lang w:val="en-RO" w:eastAsia="en-GB"/>
                <w14:ligatures w14:val="none"/>
              </w:rPr>
              <w:drawing>
                <wp:inline distT="0" distB="0" distL="0" distR="0" wp14:anchorId="57223DE7" wp14:editId="0772C286">
                  <wp:extent cx="186055" cy="186055"/>
                  <wp:effectExtent l="0" t="0" r="4445" b="4445"/>
                  <wp:docPr id="6993837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055" cy="186055"/>
                          </a:xfrm>
                          <a:prstGeom prst="rect">
                            <a:avLst/>
                          </a:prstGeom>
                          <a:noFill/>
                          <a:ln>
                            <a:noFill/>
                          </a:ln>
                        </pic:spPr>
                      </pic:pic>
                    </a:graphicData>
                  </a:graphic>
                </wp:inline>
              </w:drawing>
            </w:r>
            <w:r w:rsidRPr="00EF2922">
              <w:rPr>
                <w:rFonts w:ascii="Arial" w:eastAsia="Times New Roman" w:hAnsi="Arial" w:cs="Arial"/>
                <w:spacing w:val="9"/>
                <w:kern w:val="0"/>
                <w:lang w:val="en-RO" w:eastAsia="en-GB"/>
                <w14:ligatures w14:val="none"/>
              </w:rPr>
              <w:fldChar w:fldCharType="end"/>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E577F4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 xml:space="preserve">Oprește zgomotul și squelch-ul tonului pilot. (Uneori folosit ca instrument de depanare de </w:t>
            </w:r>
            <w:r w:rsidRPr="00EF2922">
              <w:rPr>
                <w:rFonts w:ascii="Arial" w:eastAsia="Times New Roman" w:hAnsi="Arial" w:cs="Arial"/>
                <w:spacing w:val="9"/>
                <w:kern w:val="0"/>
                <w:bdr w:val="single" w:sz="2" w:space="0" w:color="auto" w:frame="1"/>
                <w:lang w:val="en-RO" w:eastAsia="en-GB"/>
                <w14:ligatures w14:val="none"/>
              </w:rPr>
              <w:lastRenderedPageBreak/>
              <w:t>către inginerii de monitorizare sau coordonatorii RF pentru a „asculta” mediul RF.)</w:t>
            </w:r>
          </w:p>
        </w:tc>
      </w:tr>
      <w:tr w:rsidR="00EF2922" w:rsidRPr="00EF2922" w14:paraId="11293843"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DD8D05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lastRenderedPageBreak/>
              <w:t>Simbolul * apare în fereastra de afișare.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1BDB4A1" w14:textId="77777777" w:rsidR="00EF2922" w:rsidRPr="00EF2922" w:rsidRDefault="00EF2922" w:rsidP="00EF2922">
            <w:pPr>
              <w:rPr>
                <w:rFonts w:ascii="Arial" w:eastAsia="Times New Roman" w:hAnsi="Arial" w:cs="Arial"/>
                <w:spacing w:val="9"/>
                <w:kern w:val="0"/>
                <w:lang w:val="en-RO" w:eastAsia="en-GB"/>
                <w14:ligatures w14:val="none"/>
              </w:rPr>
            </w:pP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5C77D93" w14:textId="77777777" w:rsidR="00EF2922" w:rsidRPr="00EF2922" w:rsidRDefault="00EF2922" w:rsidP="00EF2922">
            <w:pPr>
              <w:rPr>
                <w:rFonts w:ascii="Times New Roman" w:eastAsia="Times New Roman" w:hAnsi="Times New Roman" w:cs="Times New Roman"/>
                <w:kern w:val="0"/>
                <w:sz w:val="20"/>
                <w:szCs w:val="20"/>
                <w:lang w:val="en-RO" w:eastAsia="en-GB"/>
                <w14:ligatures w14:val="none"/>
              </w:rPr>
            </w:pPr>
          </w:p>
        </w:tc>
      </w:tr>
    </w:tbl>
    <w:p w14:paraId="75601D3B"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Sunet wireless punct-la-punct</w:t>
      </w:r>
    </w:p>
    <w:p w14:paraId="034E57C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Folosește modul PTP pentru a permite unui P9T să transmită către un receptor UHF-R. Aceasta permite o configurație a emițătorului și receptorului în care ambele unități sunt montate în rack și alimentate de curent alternativ.</w:t>
      </w:r>
    </w:p>
    <w:p w14:paraId="6F8AEE3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Pentru mai multe informații, vizitați: www.shure.com/americas/products/personal-monitor-systems</w:t>
      </w:r>
    </w:p>
    <w:p w14:paraId="3FE1D4A1" w14:textId="422D678B"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"https://pubs2-images.prod.shureweb.eu/proxy/graphics/f_c54ba18b-303e-47d1-8b3b-fd3a9a0c1ab0-en-US.png"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57ADB5E3" wp14:editId="267DC64E">
            <wp:extent cx="3310255" cy="2514600"/>
            <wp:effectExtent l="0" t="0" r="4445" b="0"/>
            <wp:docPr id="5081277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0255" cy="25146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55A6FFA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Specificații</w:t>
      </w:r>
    </w:p>
    <w:p w14:paraId="02AB6BD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Impact" w:eastAsia="Times New Roman" w:hAnsi="Impact" w:cs="Arial"/>
          <w:b/>
          <w:bCs/>
          <w:caps/>
          <w:color w:val="000000"/>
          <w:spacing w:val="9"/>
          <w:kern w:val="0"/>
          <w:sz w:val="27"/>
          <w:szCs w:val="27"/>
          <w:lang w:val="en-RO" w:eastAsia="en-GB"/>
          <w14:ligatures w14:val="none"/>
        </w:rPr>
      </w:pPr>
      <w:r w:rsidRPr="00EF2922">
        <w:rPr>
          <w:rFonts w:ascii="Impact" w:eastAsia="Times New Roman" w:hAnsi="Impact" w:cs="Arial"/>
          <w:b/>
          <w:bCs/>
          <w:caps/>
          <w:color w:val="000000"/>
          <w:spacing w:val="9"/>
          <w:kern w:val="0"/>
          <w:sz w:val="27"/>
          <w:szCs w:val="27"/>
          <w:bdr w:val="single" w:sz="2" w:space="0" w:color="auto" w:frame="1"/>
          <w:lang w:val="en-RO" w:eastAsia="en-GB"/>
          <w14:ligatures w14:val="none"/>
        </w:rPr>
        <w:t>PSM 900</w:t>
      </w:r>
    </w:p>
    <w:p w14:paraId="0555B2D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Intervalul purtătorului RF</w:t>
      </w:r>
    </w:p>
    <w:p w14:paraId="43BB76E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470–952 MHz</w:t>
      </w:r>
    </w:p>
    <w:p w14:paraId="09CCF8E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variază în funcție de regiune</w:t>
      </w:r>
    </w:p>
    <w:p w14:paraId="1776176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lastRenderedPageBreak/>
        <w:t>Frecvențe compatibile</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499"/>
        <w:gridCol w:w="595"/>
      </w:tblGrid>
      <w:tr w:rsidR="00EF2922" w:rsidRPr="00EF2922" w14:paraId="0A3DA966"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86BAD1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Per bandă</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5DB544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20</w:t>
            </w:r>
          </w:p>
        </w:tc>
      </w:tr>
    </w:tbl>
    <w:p w14:paraId="7A9873F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Reglarea lățimii de bandă</w:t>
      </w:r>
    </w:p>
    <w:p w14:paraId="45A5904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36–40 MHz</w:t>
      </w:r>
    </w:p>
    <w:p w14:paraId="7B9C49C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Notă: variază în funcție de regiune</w:t>
      </w:r>
    </w:p>
    <w:p w14:paraId="35C6752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Interval de funcționare</w:t>
      </w:r>
    </w:p>
    <w:p w14:paraId="19889B8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dependent de mediu</w:t>
      </w:r>
    </w:p>
    <w:p w14:paraId="28C26AE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90 m (300 ft)</w:t>
      </w:r>
    </w:p>
    <w:p w14:paraId="458BB48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Separare stereo</w:t>
      </w:r>
    </w:p>
    <w:p w14:paraId="1B9950A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60 dB</w:t>
      </w:r>
    </w:p>
    <w:p w14:paraId="63B7AD3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Răspuns în frecvență audio</w:t>
      </w:r>
    </w:p>
    <w:p w14:paraId="187D310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35 Hz–15 kHz (±1 dB)</w:t>
      </w:r>
    </w:p>
    <w:p w14:paraId="15CEEB2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Raportul semnal-zgomot</w:t>
      </w:r>
    </w:p>
    <w:p w14:paraId="3E1F280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ponderat A</w:t>
      </w:r>
    </w:p>
    <w:p w14:paraId="4C507D7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90 dB (tipic)</w:t>
      </w:r>
    </w:p>
    <w:p w14:paraId="46EA635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Distorsiune armonică totală</w:t>
      </w:r>
    </w:p>
    <w:p w14:paraId="28F31A3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deviație de referință ±34 kHz la 1 kHz</w:t>
      </w:r>
    </w:p>
    <w:p w14:paraId="1142712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&lt;0,8% (tipic)</w:t>
      </w:r>
    </w:p>
    <w:p w14:paraId="3CFA9FB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Companding</w:t>
      </w:r>
    </w:p>
    <w:p w14:paraId="75CEB13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Companding audio de referință Shure patentat</w:t>
      </w:r>
    </w:p>
    <w:p w14:paraId="15721EA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lastRenderedPageBreak/>
        <w:t>Respingere falsă</w:t>
      </w:r>
    </w:p>
    <w:p w14:paraId="560E5D4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ref. 12dB SINAD</w:t>
      </w:r>
    </w:p>
    <w:p w14:paraId="001E707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&gt;80 dB (tipic)</w:t>
      </w:r>
    </w:p>
    <w:p w14:paraId="2ACDA474"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Stabilitatea frecvenței</w:t>
      </w:r>
    </w:p>
    <w:p w14:paraId="2E2ACF7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±2,5 ppm</w:t>
      </w:r>
    </w:p>
    <w:p w14:paraId="3B65912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Ton pilot MPX</w:t>
      </w:r>
    </w:p>
    <w:p w14:paraId="427E29E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19 kHz (±0,3 kHz)</w:t>
      </w:r>
    </w:p>
    <w:p w14:paraId="7D199D1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Modulare</w:t>
      </w:r>
    </w:p>
    <w:p w14:paraId="5AAC5AF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FM*, MPX Stereo</w:t>
      </w:r>
    </w:p>
    <w:p w14:paraId="212A86E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*referință ±34 kHz abatere la 1 kHz</w:t>
      </w:r>
    </w:p>
    <w:p w14:paraId="778534B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Temperatura de funcționare</w:t>
      </w:r>
    </w:p>
    <w:p w14:paraId="4C44153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-18°C până la +57°C</w:t>
      </w:r>
    </w:p>
    <w:p w14:paraId="6AEDC20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Impact" w:eastAsia="Times New Roman" w:hAnsi="Impact" w:cs="Arial"/>
          <w:b/>
          <w:bCs/>
          <w:caps/>
          <w:color w:val="000000"/>
          <w:spacing w:val="9"/>
          <w:kern w:val="0"/>
          <w:sz w:val="27"/>
          <w:szCs w:val="27"/>
          <w:lang w:val="en-RO" w:eastAsia="en-GB"/>
          <w14:ligatures w14:val="none"/>
        </w:rPr>
      </w:pPr>
      <w:r w:rsidRPr="00EF2922">
        <w:rPr>
          <w:rFonts w:ascii="Impact" w:eastAsia="Times New Roman" w:hAnsi="Impact" w:cs="Arial"/>
          <w:b/>
          <w:bCs/>
          <w:caps/>
          <w:color w:val="000000"/>
          <w:spacing w:val="9"/>
          <w:kern w:val="0"/>
          <w:sz w:val="27"/>
          <w:szCs w:val="27"/>
          <w:bdr w:val="single" w:sz="2" w:space="0" w:color="auto" w:frame="1"/>
          <w:lang w:val="en-RO" w:eastAsia="en-GB"/>
          <w14:ligatures w14:val="none"/>
        </w:rPr>
        <w:t>P9T</w:t>
      </w:r>
    </w:p>
    <w:p w14:paraId="3E388BF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Putere de ieșire RF</w:t>
      </w:r>
    </w:p>
    <w:p w14:paraId="1A5E2FE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selectabil: 10, 50, 100 mW (+20 dBm)</w:t>
      </w:r>
    </w:p>
    <w:p w14:paraId="2A60EBC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Impedanță de ieșire RF</w:t>
      </w:r>
    </w:p>
    <w:p w14:paraId="63427EA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50 Ω (tipic)</w:t>
      </w:r>
    </w:p>
    <w:p w14:paraId="0902619B"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Greutate netă</w:t>
      </w:r>
    </w:p>
    <w:p w14:paraId="3B6737F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850 de grame</w:t>
      </w:r>
    </w:p>
    <w:p w14:paraId="01DB1BE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Dimensiuni</w:t>
      </w:r>
    </w:p>
    <w:p w14:paraId="4DCB567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42 x 197 x 177 mm, Î x ​​L x A</w:t>
      </w:r>
    </w:p>
    <w:p w14:paraId="0CC03D3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Necesar de putere</w:t>
      </w:r>
    </w:p>
    <w:p w14:paraId="45F943B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15V CC, 415 mA, tipic</w:t>
      </w:r>
    </w:p>
    <w:p w14:paraId="06A8A4E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Impact" w:eastAsia="Times New Roman" w:hAnsi="Impact" w:cs="Arial"/>
          <w:b/>
          <w:bCs/>
          <w:caps/>
          <w:color w:val="000000"/>
          <w:spacing w:val="9"/>
          <w:kern w:val="0"/>
          <w:sz w:val="27"/>
          <w:szCs w:val="27"/>
          <w:lang w:val="en-RO" w:eastAsia="en-GB"/>
          <w14:ligatures w14:val="none"/>
        </w:rPr>
      </w:pPr>
      <w:r w:rsidRPr="00EF2922">
        <w:rPr>
          <w:rFonts w:ascii="Impact" w:eastAsia="Times New Roman" w:hAnsi="Impact" w:cs="Arial"/>
          <w:b/>
          <w:bCs/>
          <w:caps/>
          <w:color w:val="000000"/>
          <w:spacing w:val="9"/>
          <w:kern w:val="0"/>
          <w:sz w:val="27"/>
          <w:szCs w:val="27"/>
          <w:bdr w:val="single" w:sz="2" w:space="0" w:color="auto" w:frame="1"/>
          <w:lang w:val="en-RO" w:eastAsia="en-GB"/>
          <w14:ligatures w14:val="none"/>
        </w:rPr>
        <w:t>Intrare audio</w:t>
      </w:r>
    </w:p>
    <w:p w14:paraId="0ECB9D7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Tipul conectorului</w:t>
      </w:r>
    </w:p>
    <w:p w14:paraId="3465C79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XLR combinat și TRS de 6,35 mm (1/4")</w:t>
      </w:r>
    </w:p>
    <w:p w14:paraId="3FA7878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Polaritate</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3564"/>
        <w:gridCol w:w="5122"/>
      </w:tblGrid>
      <w:tr w:rsidR="00EF2922" w:rsidRPr="00EF2922" w14:paraId="7CC6A4A1"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90760C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XLR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B1842C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Neinversor (pinul 2 pozitiv față de pinul 3)</w:t>
            </w:r>
          </w:p>
        </w:tc>
      </w:tr>
      <w:tr w:rsidR="00EF2922" w:rsidRPr="00EF2922" w14:paraId="3BE8C64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BA6BA9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Jack TRS de 6,35 mm (1/4")</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651D1C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Vârf pozitiv față de inel</w:t>
            </w:r>
          </w:p>
        </w:tc>
      </w:tr>
    </w:tbl>
    <w:p w14:paraId="6C0BAB0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Configurare</w:t>
      </w:r>
    </w:p>
    <w:p w14:paraId="16ACCA1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Echilibrat electronic</w:t>
      </w:r>
    </w:p>
    <w:p w14:paraId="7DD2989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Impedanță</w:t>
      </w:r>
    </w:p>
    <w:p w14:paraId="1333F14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70,2 kΩ (real)</w:t>
      </w:r>
    </w:p>
    <w:p w14:paraId="4ABD162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Nivel nominal de intrare</w:t>
      </w:r>
    </w:p>
    <w:p w14:paraId="5306ACD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comutabil: +4 dBu, –10 dBV</w:t>
      </w:r>
    </w:p>
    <w:p w14:paraId="42212DBD"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Nivel maxim de intrare</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241"/>
        <w:gridCol w:w="1492"/>
      </w:tblGrid>
      <w:tr w:rsidR="00EF2922" w:rsidRPr="00EF2922" w14:paraId="236DCCFA"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DE474A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 dBu</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05B8E4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+29,2 dBu</w:t>
            </w:r>
          </w:p>
        </w:tc>
      </w:tr>
      <w:tr w:rsidR="00EF2922" w:rsidRPr="00EF2922" w14:paraId="2714BE8F"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65D597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 dBV</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63E822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+12,2 dBu</w:t>
            </w:r>
          </w:p>
        </w:tc>
      </w:tr>
    </w:tbl>
    <w:p w14:paraId="61DF2EF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Atribuiri de pini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3498"/>
        <w:gridCol w:w="5512"/>
      </w:tblGrid>
      <w:tr w:rsidR="00EF2922" w:rsidRPr="00EF2922" w14:paraId="7E48CD34"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A1AA53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lastRenderedPageBreak/>
              <w:t>XLR</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B40C16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1=măcinat, 2=fierbinte, 3=rece</w:t>
            </w:r>
          </w:p>
        </w:tc>
      </w:tr>
      <w:tr w:rsidR="00EF2922" w:rsidRPr="00EF2922" w14:paraId="5FC08B40"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9F5520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Jack TRS de 6,35 mm (1/4")</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358C66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Vârf = fierbinte, Inel = rece, Manșon = pământ</w:t>
            </w:r>
          </w:p>
        </w:tc>
      </w:tr>
    </w:tbl>
    <w:p w14:paraId="78AAFFAC"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Protecție Phantom Power</w:t>
      </w:r>
    </w:p>
    <w:p w14:paraId="531F592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Până la 60 V CC</w:t>
      </w:r>
    </w:p>
    <w:p w14:paraId="74AB133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Impact" w:eastAsia="Times New Roman" w:hAnsi="Impact" w:cs="Arial"/>
          <w:b/>
          <w:bCs/>
          <w:caps/>
          <w:color w:val="000000"/>
          <w:spacing w:val="9"/>
          <w:kern w:val="0"/>
          <w:sz w:val="27"/>
          <w:szCs w:val="27"/>
          <w:lang w:val="en-RO" w:eastAsia="en-GB"/>
          <w14:ligatures w14:val="none"/>
        </w:rPr>
      </w:pPr>
      <w:r w:rsidRPr="00EF2922">
        <w:rPr>
          <w:rFonts w:ascii="Impact" w:eastAsia="Times New Roman" w:hAnsi="Impact" w:cs="Arial"/>
          <w:b/>
          <w:bCs/>
          <w:caps/>
          <w:color w:val="000000"/>
          <w:spacing w:val="9"/>
          <w:kern w:val="0"/>
          <w:sz w:val="27"/>
          <w:szCs w:val="27"/>
          <w:bdr w:val="single" w:sz="2" w:space="0" w:color="auto" w:frame="1"/>
          <w:lang w:val="en-RO" w:eastAsia="en-GB"/>
          <w14:ligatures w14:val="none"/>
        </w:rPr>
        <w:t>Ieșire audio</w:t>
      </w:r>
    </w:p>
    <w:p w14:paraId="620C0E3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Tipul conectorului</w:t>
      </w:r>
    </w:p>
    <w:p w14:paraId="038A8F3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Jack TRS de 6,35 mm (1/4")</w:t>
      </w:r>
    </w:p>
    <w:p w14:paraId="75A57AD6"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Configurare</w:t>
      </w:r>
    </w:p>
    <w:p w14:paraId="68664A9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Echilibrat electronic</w:t>
      </w:r>
    </w:p>
    <w:p w14:paraId="3749786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Impedanță</w:t>
      </w:r>
    </w:p>
    <w:p w14:paraId="189BC0B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Conectat direct la intrări</w:t>
      </w:r>
    </w:p>
    <w:p w14:paraId="2A3CC4A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Impact" w:eastAsia="Times New Roman" w:hAnsi="Impact" w:cs="Arial"/>
          <w:b/>
          <w:bCs/>
          <w:caps/>
          <w:color w:val="000000"/>
          <w:spacing w:val="9"/>
          <w:kern w:val="0"/>
          <w:sz w:val="27"/>
          <w:szCs w:val="27"/>
          <w:lang w:val="en-RO" w:eastAsia="en-GB"/>
          <w14:ligatures w14:val="none"/>
        </w:rPr>
      </w:pPr>
      <w:r w:rsidRPr="00EF2922">
        <w:rPr>
          <w:rFonts w:ascii="Impact" w:eastAsia="Times New Roman" w:hAnsi="Impact" w:cs="Arial"/>
          <w:b/>
          <w:bCs/>
          <w:caps/>
          <w:color w:val="000000"/>
          <w:spacing w:val="9"/>
          <w:kern w:val="0"/>
          <w:sz w:val="27"/>
          <w:szCs w:val="27"/>
          <w:bdr w:val="single" w:sz="2" w:space="0" w:color="auto" w:frame="1"/>
          <w:lang w:val="en-RO" w:eastAsia="en-GB"/>
          <w14:ligatures w14:val="none"/>
        </w:rPr>
        <w:t>P9RA+</w:t>
      </w:r>
    </w:p>
    <w:p w14:paraId="78523AB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Filtrare RF frontală</w:t>
      </w:r>
    </w:p>
    <w:p w14:paraId="05A4B50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–3 dB la 30,5 MHz față de frecvența centrală a fiecărei benzi</w:t>
      </w:r>
    </w:p>
    <w:p w14:paraId="1AC1F9A8"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Control activ al câștigului RF</w:t>
      </w:r>
    </w:p>
    <w:p w14:paraId="1E935E4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31 dB</w:t>
      </w:r>
    </w:p>
    <w:p w14:paraId="16947EC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Ajustează sensibilitatea RF pentru a oferi o gamă dinamică RF mai mare</w:t>
      </w:r>
    </w:p>
    <w:p w14:paraId="59D00F2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Sensibilitate RF</w:t>
      </w:r>
    </w:p>
    <w:p w14:paraId="1DE21ED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la 20 dB SINAD</w:t>
      </w:r>
    </w:p>
    <w:p w14:paraId="06C6DA0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2,2 µV</w:t>
      </w:r>
    </w:p>
    <w:p w14:paraId="15A62A6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lastRenderedPageBreak/>
        <w:t>Respingerea imaginii</w:t>
      </w:r>
    </w:p>
    <w:p w14:paraId="22B5D40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&gt;90 dB</w:t>
      </w:r>
    </w:p>
    <w:p w14:paraId="34935713"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Respingerea canalului adiacent</w:t>
      </w:r>
    </w:p>
    <w:p w14:paraId="1380418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&gt;70 dB</w:t>
      </w:r>
    </w:p>
    <w:p w14:paraId="3A5EB8C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Latență</w:t>
      </w:r>
    </w:p>
    <w:p w14:paraId="5EE370E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0,37 ms</w:t>
      </w:r>
    </w:p>
    <w:p w14:paraId="566E1F4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Prag de squelch</w:t>
      </w:r>
    </w:p>
    <w:p w14:paraId="59B217A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22 dB SINAD (±3 dB)</w:t>
      </w:r>
    </w:p>
    <w:p w14:paraId="2042DC2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setare implicită</w:t>
      </w:r>
    </w:p>
    <w:p w14:paraId="4004A6A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Atenuarea intermodulației</w:t>
      </w:r>
    </w:p>
    <w:p w14:paraId="0D79158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&gt;70 dB</w:t>
      </w:r>
    </w:p>
    <w:p w14:paraId="793BA7D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Blocare</w:t>
      </w:r>
    </w:p>
    <w:p w14:paraId="00A3E8F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&gt;80 dB</w:t>
      </w:r>
    </w:p>
    <w:p w14:paraId="2B2CDBD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Putere de ieșire audio</w:t>
      </w:r>
    </w:p>
    <w:p w14:paraId="72FAA2F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1kHz la 1% distorsiune, putere de vârf, la 16Ω</w:t>
      </w:r>
    </w:p>
    <w:p w14:paraId="144ADD9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100 mW (per ieșire)</w:t>
      </w:r>
    </w:p>
    <w:p w14:paraId="1723FC0B"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Egalizator parametric pe 4 benzi</w:t>
      </w:r>
    </w:p>
    <w:p w14:paraId="5A88F41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9,5 Ω</w:t>
      </w:r>
    </w:p>
    <w:p w14:paraId="5308AB6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Boost ridicat</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398"/>
        <w:gridCol w:w="7612"/>
      </w:tblGrid>
      <w:tr w:rsidR="00EF2922" w:rsidRPr="00EF2922" w14:paraId="6E8F626F"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EA4B68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Raft jos</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FFC568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Câștig selectabil: ±2 dB, ±4 dB, ±6 dB la 100 Hz</w:t>
            </w:r>
          </w:p>
        </w:tc>
      </w:tr>
      <w:tr w:rsidR="00EF2922" w:rsidRPr="00EF2922" w14:paraId="506EEF3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DC038C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lastRenderedPageBreak/>
              <w:t>Mijloc-Mijloc</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24F1F4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Câștig selectabil: ±2 dB, ±4 dB, ±6 dB la 160 Hz, 250 Hz, 400 Hz, 500 Hz, 630 Hz Q selectabil: 0.7, 1.4, 2.9, 5.0, 11.5</w:t>
            </w:r>
          </w:p>
        </w:tc>
      </w:tr>
      <w:tr w:rsidR="00EF2922" w:rsidRPr="00EF2922" w14:paraId="1230E809"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ADBA1F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Medii înalte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6E249A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Câștig selectabil: ±2 dB, ±4 dB, ±6 dB la 1 kHz, 1,6 kHz, 2,5 kHz, 4 kHz, 6,3 kHz Q selectabil: 0,7, 1,4, 2,9, 5,0, 11,5</w:t>
            </w:r>
          </w:p>
        </w:tc>
      </w:tr>
      <w:tr w:rsidR="00EF2922" w:rsidRPr="00EF2922" w14:paraId="33DC886F"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9425C9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Raft înalt</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1E7C77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Câștig selectabil: ±2 dB, ±4 dB, ±6 dB la 10 kHz</w:t>
            </w:r>
          </w:p>
        </w:tc>
      </w:tr>
    </w:tbl>
    <w:p w14:paraId="2E6AE07F"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Limitator de volum</w:t>
      </w:r>
    </w:p>
    <w:p w14:paraId="55332E4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Selectabil: OFF (0 dB) până la -48 dB în trepte de 3 dB</w:t>
      </w:r>
    </w:p>
    <w:p w14:paraId="2782E78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Blocare volum</w:t>
      </w:r>
    </w:p>
    <w:p w14:paraId="63F822E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Selectabil: 0 dB până la -70 dB</w:t>
      </w:r>
    </w:p>
    <w:p w14:paraId="4160702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Butonul de reglare a volumului limitează valoarea selectată, analogă cu incrementarea butonului de volum.</w:t>
      </w:r>
    </w:p>
    <w:p w14:paraId="2BBB7FC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Greutate netă</w:t>
      </w:r>
    </w:p>
    <w:p w14:paraId="5320E50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154 g (fără baterie)</w:t>
      </w:r>
    </w:p>
    <w:p w14:paraId="3000310A"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Dimensiuni</w:t>
      </w:r>
    </w:p>
    <w:p w14:paraId="1266162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83 x 65 x 22 mmÎ x l x A</w:t>
      </w:r>
    </w:p>
    <w:p w14:paraId="716C1DD2"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Durata de viață a bateriei</w:t>
      </w:r>
    </w:p>
    <w:p w14:paraId="5BC0EAB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4–6 ore (utilizare continuă) baterii AA</w:t>
      </w:r>
    </w:p>
    <w:p w14:paraId="12F937D7"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Interval de frecvență și putere de ieșire a emițătorului</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1855"/>
        <w:gridCol w:w="2500"/>
        <w:gridCol w:w="3848"/>
      </w:tblGrid>
      <w:tr w:rsidR="00EF2922" w:rsidRPr="00EF2922" w14:paraId="1AFB2256" w14:textId="77777777">
        <w:trPr>
          <w:trHeight w:val="720"/>
          <w:tblHeader/>
        </w:trPr>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7DDFDFE9" w14:textId="77777777" w:rsidR="00EF2922" w:rsidRPr="00EF2922" w:rsidRDefault="00EF2922" w:rsidP="00EF2922">
            <w:pPr>
              <w:jc w:val="center"/>
              <w:rPr>
                <w:rFonts w:ascii="Arial" w:eastAsia="Times New Roman" w:hAnsi="Arial" w:cs="Arial"/>
                <w:b/>
                <w:bCs/>
                <w:caps/>
                <w:color w:val="FFFFFF"/>
                <w:spacing w:val="9"/>
                <w:kern w:val="0"/>
                <w:lang w:val="en-RO" w:eastAsia="en-GB"/>
                <w14:ligatures w14:val="none"/>
              </w:rPr>
            </w:pPr>
            <w:r w:rsidRPr="00EF2922">
              <w:rPr>
                <w:rFonts w:ascii="Arial" w:eastAsia="Times New Roman" w:hAnsi="Arial" w:cs="Arial"/>
                <w:b/>
                <w:bCs/>
                <w:caps/>
                <w:color w:val="FFFFFF"/>
                <w:spacing w:val="9"/>
                <w:kern w:val="0"/>
                <w:bdr w:val="single" w:sz="2" w:space="0" w:color="auto" w:frame="1"/>
                <w:lang w:val="en-RO" w:eastAsia="en-GB"/>
                <w14:ligatures w14:val="none"/>
              </w:rPr>
              <w:lastRenderedPageBreak/>
              <w:t>Bandă</w:t>
            </w:r>
          </w:p>
        </w:tc>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109DDF50" w14:textId="77777777" w:rsidR="00EF2922" w:rsidRPr="00EF2922" w:rsidRDefault="00EF2922" w:rsidP="00EF2922">
            <w:pPr>
              <w:jc w:val="center"/>
              <w:rPr>
                <w:rFonts w:ascii="Arial" w:eastAsia="Times New Roman" w:hAnsi="Arial" w:cs="Arial"/>
                <w:b/>
                <w:bCs/>
                <w:caps/>
                <w:color w:val="FFFFFF"/>
                <w:spacing w:val="9"/>
                <w:kern w:val="0"/>
                <w:lang w:val="en-RO" w:eastAsia="en-GB"/>
                <w14:ligatures w14:val="none"/>
              </w:rPr>
            </w:pPr>
            <w:r w:rsidRPr="00EF2922">
              <w:rPr>
                <w:rFonts w:ascii="Arial" w:eastAsia="Times New Roman" w:hAnsi="Arial" w:cs="Arial"/>
                <w:b/>
                <w:bCs/>
                <w:caps/>
                <w:color w:val="FFFFFF"/>
                <w:spacing w:val="9"/>
                <w:kern w:val="0"/>
                <w:bdr w:val="single" w:sz="2" w:space="0" w:color="auto" w:frame="1"/>
                <w:lang w:val="en-RO" w:eastAsia="en-GB"/>
                <w14:ligatures w14:val="none"/>
              </w:rPr>
              <w:t>Gamă</w:t>
            </w:r>
          </w:p>
        </w:tc>
        <w:tc>
          <w:tcPr>
            <w:tcW w:w="0" w:type="auto"/>
            <w:tcBorders>
              <w:top w:val="single" w:sz="6" w:space="0" w:color="D7D7D9"/>
              <w:left w:val="single" w:sz="6" w:space="0" w:color="D7D7D9"/>
              <w:bottom w:val="single" w:sz="6" w:space="0" w:color="D7D7D9"/>
              <w:right w:val="single" w:sz="6" w:space="0" w:color="D7D7D9"/>
            </w:tcBorders>
            <w:shd w:val="clear" w:color="auto" w:fill="333335"/>
            <w:tcMar>
              <w:top w:w="150" w:type="dxa"/>
              <w:left w:w="150" w:type="dxa"/>
              <w:bottom w:w="150" w:type="dxa"/>
              <w:right w:w="150" w:type="dxa"/>
            </w:tcMar>
            <w:vAlign w:val="center"/>
            <w:hideMark/>
          </w:tcPr>
          <w:p w14:paraId="138CC8AC" w14:textId="77777777" w:rsidR="00EF2922" w:rsidRPr="00EF2922" w:rsidRDefault="00EF2922" w:rsidP="00EF2922">
            <w:pPr>
              <w:jc w:val="center"/>
              <w:rPr>
                <w:rFonts w:ascii="Arial" w:eastAsia="Times New Roman" w:hAnsi="Arial" w:cs="Arial"/>
                <w:b/>
                <w:bCs/>
                <w:caps/>
                <w:color w:val="FFFFFF"/>
                <w:spacing w:val="9"/>
                <w:kern w:val="0"/>
                <w:lang w:val="en-RO" w:eastAsia="en-GB"/>
                <w14:ligatures w14:val="none"/>
              </w:rPr>
            </w:pPr>
            <w:r w:rsidRPr="00EF2922">
              <w:rPr>
                <w:rFonts w:ascii="Arial" w:eastAsia="Times New Roman" w:hAnsi="Arial" w:cs="Arial"/>
                <w:b/>
                <w:bCs/>
                <w:caps/>
                <w:color w:val="FFFFFF"/>
                <w:spacing w:val="9"/>
                <w:kern w:val="0"/>
                <w:bdr w:val="single" w:sz="2" w:space="0" w:color="auto" w:frame="1"/>
                <w:lang w:val="en-RO" w:eastAsia="en-GB"/>
                <w14:ligatures w14:val="none"/>
              </w:rPr>
              <w:t>Ieșire</w:t>
            </w:r>
          </w:p>
        </w:tc>
      </w:tr>
      <w:tr w:rsidR="00EF2922" w:rsidRPr="00EF2922" w14:paraId="1CE93762"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F610B6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G6</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8FEE67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470 – 506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5DCA66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5CF92D33"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9FE5C4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G6E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E26FA0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470 – 506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853413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  mW ( sub 50 mW ERP )</w:t>
            </w:r>
          </w:p>
        </w:tc>
      </w:tr>
      <w:tr w:rsidR="00EF2922" w:rsidRPr="00EF2922" w14:paraId="55FEB24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E47D80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G6J</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537E1A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470 – 506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BD8C4B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6/10  mW</w:t>
            </w:r>
          </w:p>
        </w:tc>
      </w:tr>
      <w:tr w:rsidR="00EF2922" w:rsidRPr="00EF2922" w14:paraId="21D7EE6D"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70986C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G14</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383B93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506 – 542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F6431D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  mW</w:t>
            </w:r>
          </w:p>
        </w:tc>
      </w:tr>
      <w:tr w:rsidR="00EF2922" w:rsidRPr="00EF2922" w14:paraId="6E8C09A9"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3E29AB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G14J</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7567DD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506 – 542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C26FB8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6/10  mW</w:t>
            </w:r>
          </w:p>
        </w:tc>
      </w:tr>
      <w:tr w:rsidR="00EF2922" w:rsidRPr="00EF2922" w14:paraId="3D806463"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D5B8B4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G62</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BFA4E5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510 – 530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C9C915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  mW</w:t>
            </w:r>
          </w:p>
        </w:tc>
      </w:tr>
      <w:tr w:rsidR="00EF2922" w:rsidRPr="00EF2922" w14:paraId="4E39784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198032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G7</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FBCE8A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506 – 542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D36E69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1C28B27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DC785C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G7E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A63B1D4"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506 – 542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DA9F50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  mW</w:t>
            </w:r>
          </w:p>
        </w:tc>
      </w:tr>
      <w:tr w:rsidR="00EF2922" w:rsidRPr="00EF2922" w14:paraId="07760557"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052E17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G7Z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6A1279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518 – 542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F799C8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6E88F8AF"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5B7937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H21</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EA183F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542 – 578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551647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1160C9F7"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7B9334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K1</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6F1259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596 – 632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C3C539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68F46006"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930BBF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K1E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DA86F5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596 – 632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1C335D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  mW</w:t>
            </w:r>
          </w:p>
        </w:tc>
      </w:tr>
      <w:tr w:rsidR="00EF2922" w:rsidRPr="00EF2922" w14:paraId="1EA15931"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214C2F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K1J</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187353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596 – 632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B11A2D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6/10  mW</w:t>
            </w:r>
          </w:p>
        </w:tc>
      </w:tr>
      <w:tr w:rsidR="00EF2922" w:rsidRPr="00EF2922" w14:paraId="4B3A3578"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EE7781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L6</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0F76C5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656 – 692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F0418D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4AFF15D9"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3220C8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L6E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C46932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656 – 692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A88BE7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  mW ( sub 50 mW ERP )</w:t>
            </w:r>
          </w:p>
        </w:tc>
      </w:tr>
      <w:tr w:rsidR="00EF2922" w:rsidRPr="00EF2922" w14:paraId="1315A548"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6F5F80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L6J</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539085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656 – 692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802161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6/10  mW</w:t>
            </w:r>
          </w:p>
        </w:tc>
      </w:tr>
      <w:tr w:rsidR="00EF2922" w:rsidRPr="00EF2922" w14:paraId="3FC5545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0726E7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P7</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1054EC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702 – 742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3AC304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18F3D3E0"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0422BA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Întrebarea 12</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5929F6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748 – 758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4F93F0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  mW</w:t>
            </w:r>
          </w:p>
        </w:tc>
      </w:tr>
      <w:tr w:rsidR="00EF2922" w:rsidRPr="00EF2922" w14:paraId="45E43D91"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D13F43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Întrebarea 15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18DCD6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750 – 790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80D00C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503673C0"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01ACB0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R21</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EEAAB5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794 – 806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BBC41D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  mW</w:t>
            </w:r>
          </w:p>
        </w:tc>
      </w:tr>
      <w:tr w:rsidR="00EF2922" w:rsidRPr="00EF2922" w14:paraId="3043E2C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40371C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X7</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32FCD4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925 – 937 , 5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BE2362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  mW</w:t>
            </w:r>
          </w:p>
        </w:tc>
      </w:tr>
      <w:tr w:rsidR="00EF2922" w:rsidRPr="00EF2922" w14:paraId="78CC268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75F2B0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lastRenderedPageBreak/>
              <w:t>X1</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902A3BA"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944 – 952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54FFDE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r w:rsidR="00EF2922" w:rsidRPr="00EF2922" w14:paraId="73761742"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AEF48A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X55</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58C25A3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941 – 960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30C21B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10/50/100  mW</w:t>
            </w:r>
          </w:p>
        </w:tc>
      </w:tr>
    </w:tbl>
    <w:p w14:paraId="14673E8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Acest echipament radio este destinat utilizării în divertisment muzical profesional și aplicații similare. Este posibil ca acest aparat radio să poată funcționa pe anumite frecvențe neautorizate în regiunea dumneavoastră. Vă rugăm să contactați autoritatea națională pentru a obține informații despre frecvențele autorizate și nivelurile de putere RF pentru produsele de microfoane wireless.</w:t>
      </w:r>
    </w:p>
    <w:p w14:paraId="57D5BA8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Este posibil ca benzile de frecvență să nu fie disponibile pentru vânzare sau autorizate pentru utilizare în toate țările sau regiunile.</w:t>
      </w:r>
    </w:p>
    <w:p w14:paraId="3D6264F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Tahoma" w:eastAsia="Times New Roman" w:hAnsi="Tahoma" w:cs="Tahoma"/>
          <w:color w:val="000000"/>
          <w:spacing w:val="2"/>
          <w:kern w:val="0"/>
          <w:bdr w:val="single" w:sz="2" w:space="0" w:color="auto" w:frame="1"/>
          <w:lang w:val="en-RO" w:eastAsia="en-GB"/>
          <w14:ligatures w14:val="none"/>
        </w:rPr>
        <w:t>เครื่องโทรคมนาคมและอุปกรณ์นี้มีสคมีสมีสมะอุปกรณ์นี้มีสคมีื่องโทรคมนาคมแล</w:t>
      </w:r>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Tahoma" w:eastAsia="Times New Roman" w:hAnsi="Tahoma" w:cs="Tahoma"/>
          <w:color w:val="000000"/>
          <w:spacing w:val="2"/>
          <w:kern w:val="0"/>
          <w:bdr w:val="single" w:sz="2" w:space="0" w:color="auto" w:frame="1"/>
          <w:lang w:val="en-RO" w:eastAsia="en-GB"/>
          <w14:ligatures w14:val="none"/>
        </w:rPr>
        <w:t>คล้องตามมาตรฐานหรือ</w:t>
      </w:r>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Tahoma" w:eastAsia="Times New Roman" w:hAnsi="Tahoma" w:cs="Tahoma"/>
          <w:color w:val="000000"/>
          <w:spacing w:val="2"/>
          <w:kern w:val="0"/>
          <w:bdr w:val="single" w:sz="2" w:space="0" w:color="auto" w:frame="1"/>
          <w:lang w:val="en-RO" w:eastAsia="en-GB"/>
          <w14:ligatures w14:val="none"/>
        </w:rPr>
        <w:t>ข้อกำหนดทางเทคนิคของ</w:t>
      </w:r>
      <w:r w:rsidRPr="00EF2922">
        <w:rPr>
          <w:rFonts w:ascii="Arial" w:eastAsia="Times New Roman" w:hAnsi="Arial" w:cs="Arial"/>
          <w:color w:val="000000"/>
          <w:spacing w:val="2"/>
          <w:kern w:val="0"/>
          <w:bdr w:val="single" w:sz="2" w:space="0" w:color="auto" w:frame="1"/>
          <w:lang w:val="en-RO" w:eastAsia="en-GB"/>
          <w14:ligatures w14:val="none"/>
        </w:rPr>
        <w:t xml:space="preserve"> Nu.</w:t>
      </w:r>
    </w:p>
    <w:p w14:paraId="02C895A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Accesorii mobilate</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7493"/>
        <w:gridCol w:w="1517"/>
      </w:tblGrid>
      <w:tr w:rsidR="00EF2922" w:rsidRPr="00EF2922" w14:paraId="3468E95A"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422D2E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omnidirecțională tip bici (470-530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2702E07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UA700</w:t>
            </w:r>
          </w:p>
        </w:tc>
      </w:tr>
      <w:tr w:rsidR="00EF2922" w:rsidRPr="00EF2922" w14:paraId="7B4F7C1B"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7CCF22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omnidirecțională tip bici (578-698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C73389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UA720</w:t>
            </w:r>
          </w:p>
        </w:tc>
      </w:tr>
      <w:tr w:rsidR="00EF2922" w:rsidRPr="00EF2922" w14:paraId="750BA366"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35903E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omnidirecțională tip bici (740-865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8F89F7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UA730</w:t>
            </w:r>
          </w:p>
        </w:tc>
      </w:tr>
      <w:tr w:rsidR="00EF2922" w:rsidRPr="00EF2922" w14:paraId="2519101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A887F3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omnidirecțională tip bici (944-952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184F78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UA740</w:t>
            </w:r>
          </w:p>
        </w:tc>
      </w:tr>
      <w:tr w:rsidR="00EF2922" w:rsidRPr="00EF2922" w14:paraId="6BD058C8"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D8B53F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receptor omnidirecțională cu undă 1/2 pentru o recepție îmbunătățită a semnalului wireless</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5201B9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w:t>
            </w:r>
          </w:p>
        </w:tc>
      </w:tr>
      <w:tr w:rsidR="00EF2922" w:rsidRPr="00EF2922" w14:paraId="03518373"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32EAEF8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Cabluri de extensie pentru antenă (2)</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9F33BF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95B9023</w:t>
            </w:r>
          </w:p>
        </w:tc>
      </w:tr>
      <w:tr w:rsidR="00EF2922" w:rsidRPr="00EF2922" w14:paraId="0AB6BAB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92C962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Geantă de transport/depozitare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E88A1DE"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95A2313</w:t>
            </w:r>
          </w:p>
        </w:tc>
      </w:tr>
      <w:tr w:rsidR="00EF2922" w:rsidRPr="00EF2922" w14:paraId="188D9199"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F26862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Suport de montare în rack, lung</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3F5676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53A38729</w:t>
            </w:r>
          </w:p>
        </w:tc>
      </w:tr>
      <w:tr w:rsidR="00EF2922" w:rsidRPr="00EF2922" w14:paraId="76BBC7D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A175BA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Bară scurtă pentru rack-uri</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D22AFB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53A38728</w:t>
            </w:r>
          </w:p>
        </w:tc>
      </w:tr>
      <w:tr w:rsidR="00EF2922" w:rsidRPr="00EF2922" w14:paraId="5FC46AD4"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CEF2E9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Bare de legătură (suport)</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EDB57C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53B8443</w:t>
            </w:r>
          </w:p>
        </w:tc>
      </w:tr>
      <w:tr w:rsidR="00EF2922" w:rsidRPr="00EF2922" w14:paraId="2515D4A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D431D9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lastRenderedPageBreak/>
              <w:t>Kit hardware (șuruburi de montare în rack)</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2D1C8E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90AR8100</w:t>
            </w:r>
          </w:p>
        </w:tc>
      </w:tr>
      <w:tr w:rsidR="00EF2922" w:rsidRPr="00EF2922" w14:paraId="6EE8B3DD"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18B2EF4"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Kit bară de protecție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3953A4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90B8977</w:t>
            </w:r>
          </w:p>
        </w:tc>
      </w:tr>
      <w:tr w:rsidR="00EF2922" w:rsidRPr="00EF2922" w14:paraId="2A2996FF"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04926D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Alimentare electrică</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163BBD4"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PS43</w:t>
            </w:r>
          </w:p>
        </w:tc>
      </w:tr>
    </w:tbl>
    <w:p w14:paraId="18928C7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Accesorii opționale</w:t>
      </w:r>
    </w:p>
    <w:tbl>
      <w:tblPr>
        <w:tblW w:w="0" w:type="auto"/>
        <w:tblBorders>
          <w:top w:val="single" w:sz="6" w:space="0" w:color="D7D7D9"/>
          <w:left w:val="single" w:sz="6" w:space="0" w:color="D7D7D9"/>
          <w:bottom w:val="single" w:sz="6" w:space="0" w:color="D7D7D9"/>
          <w:right w:val="single" w:sz="6" w:space="0" w:color="D7D7D9"/>
        </w:tblBorders>
        <w:tblCellMar>
          <w:top w:w="15" w:type="dxa"/>
          <w:left w:w="15" w:type="dxa"/>
          <w:bottom w:w="15" w:type="dxa"/>
          <w:right w:w="15" w:type="dxa"/>
        </w:tblCellMar>
        <w:tblLook w:val="04A0" w:firstRow="1" w:lastRow="0" w:firstColumn="1" w:lastColumn="0" w:noHBand="0" w:noVBand="1"/>
      </w:tblPr>
      <w:tblGrid>
        <w:gridCol w:w="7347"/>
        <w:gridCol w:w="1663"/>
      </w:tblGrid>
      <w:tr w:rsidR="00EF2922" w:rsidRPr="00EF2922" w14:paraId="1DDADE83"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923137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direcțională pasivă 470-952 MHz. Include cablu BNC la BNC de 3 metri.</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1AF519D"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PA805SWB</w:t>
            </w:r>
          </w:p>
        </w:tc>
      </w:tr>
      <w:tr w:rsidR="00EF2922" w:rsidRPr="00EF2922" w14:paraId="6817CE10"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096FF5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elicoidală PWS, 480-900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6BCE657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HA-8089</w:t>
            </w:r>
          </w:p>
        </w:tc>
      </w:tr>
      <w:tr w:rsidR="00EF2922" w:rsidRPr="00EF2922" w14:paraId="00687F82"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449266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elicoidală cu cupolă PWS, 480-900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5545C5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HA-8091</w:t>
            </w:r>
          </w:p>
        </w:tc>
      </w:tr>
      <w:tr w:rsidR="00EF2922" w:rsidRPr="00EF2922" w14:paraId="28E83E0A"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3F04D4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elicoidală, 944-954 MHz</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4D19FB1"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HA-8241</w:t>
            </w:r>
          </w:p>
        </w:tc>
      </w:tr>
      <w:tr w:rsidR="00EF2922" w:rsidRPr="00EF2922" w14:paraId="44DA8419"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0A0DF5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Antenă omnidirecțională cu bandă largă (470-1100 MHz)</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6A436E3"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UA860SWB</w:t>
            </w:r>
          </w:p>
        </w:tc>
      </w:tr>
      <w:tr w:rsidR="00EF2922" w:rsidRPr="00EF2922" w14:paraId="52D92E36"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E0A809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coaxial BNC-BNC de 60 cm</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43F2C0B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UA802</w:t>
            </w:r>
          </w:p>
        </w:tc>
      </w:tr>
      <w:tr w:rsidR="00EF2922" w:rsidRPr="00EF2922" w14:paraId="271C9BEE"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0CEAAC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coaxial BNC la BNC de 1,8 m pentru montarea antenei la distanță pentru sistemul wireless ULX</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43797F7C"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UA806</w:t>
            </w:r>
          </w:p>
        </w:tc>
      </w:tr>
      <w:tr w:rsidR="00EF2922" w:rsidRPr="00EF2922" w14:paraId="07C06835"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0F96B1C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coaxial BNC-BNC de 25 de picioare</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23301C75"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UA825</w:t>
            </w:r>
          </w:p>
        </w:tc>
      </w:tr>
      <w:tr w:rsidR="00EF2922" w:rsidRPr="00EF2922" w14:paraId="4FF14C1C"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7B6A7977"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coaxial BNC-BNC de 50 de picioare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3EC2BD9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UA850</w:t>
            </w:r>
          </w:p>
        </w:tc>
      </w:tr>
      <w:tr w:rsidR="00EF2922" w:rsidRPr="00EF2922" w14:paraId="3CBE604C"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701B5B8"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coaxial BNC-BNC de 30 m</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17A55519"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UA8100</w:t>
            </w:r>
          </w:p>
        </w:tc>
      </w:tr>
      <w:tr w:rsidR="00EF2922" w:rsidRPr="00EF2922" w14:paraId="7AB6D7EF"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E8110A2"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Combinator de antene 4-la-1 cu distribuție a puterii către 4 emițătoare (performanță RF mai bună și elimină necesitatea unei surse de alimentare externe)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68680C9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PA421B</w:t>
            </w:r>
          </w:p>
        </w:tc>
      </w:tr>
      <w:tr w:rsidR="00EF2922" w:rsidRPr="00EF2922" w14:paraId="5AAC4BAB" w14:textId="77777777">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5386F40B"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Combinator de antene 8 la 1 pentru o performanță RF mai bună</w:t>
            </w:r>
          </w:p>
        </w:tc>
        <w:tc>
          <w:tcPr>
            <w:tcW w:w="0" w:type="auto"/>
            <w:tcBorders>
              <w:top w:val="single" w:sz="6" w:space="0" w:color="D7D7D9"/>
              <w:left w:val="single" w:sz="6" w:space="0" w:color="D7D7D9"/>
              <w:bottom w:val="single" w:sz="6" w:space="0" w:color="D7D7D9"/>
              <w:right w:val="single" w:sz="6" w:space="0" w:color="D7D7D9"/>
            </w:tcBorders>
            <w:shd w:val="clear" w:color="auto" w:fill="F2F2F4"/>
            <w:tcMar>
              <w:top w:w="150" w:type="dxa"/>
              <w:left w:w="150" w:type="dxa"/>
              <w:bottom w:w="150" w:type="dxa"/>
              <w:right w:w="150" w:type="dxa"/>
            </w:tcMar>
            <w:vAlign w:val="center"/>
            <w:hideMark/>
          </w:tcPr>
          <w:p w14:paraId="7B4D2C60"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PA821B</w:t>
            </w:r>
          </w:p>
        </w:tc>
      </w:tr>
      <w:tr w:rsidR="00EF2922" w:rsidRPr="00EF2922" w14:paraId="3D19927A" w14:textId="77777777">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1EDFD56F"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Cablu spiralat IFB pentru căști Shure</w:t>
            </w:r>
          </w:p>
        </w:tc>
        <w:tc>
          <w:tcPr>
            <w:tcW w:w="0" w:type="auto"/>
            <w:tcBorders>
              <w:top w:val="single" w:sz="6" w:space="0" w:color="D7D7D9"/>
              <w:left w:val="single" w:sz="6" w:space="0" w:color="D7D7D9"/>
              <w:bottom w:val="single" w:sz="6" w:space="0" w:color="D7D7D9"/>
              <w:right w:val="single" w:sz="6" w:space="0" w:color="D7D7D9"/>
            </w:tcBorders>
            <w:tcMar>
              <w:top w:w="150" w:type="dxa"/>
              <w:left w:w="150" w:type="dxa"/>
              <w:bottom w:w="150" w:type="dxa"/>
              <w:right w:w="150" w:type="dxa"/>
            </w:tcMar>
            <w:vAlign w:val="center"/>
            <w:hideMark/>
          </w:tcPr>
          <w:p w14:paraId="0C0BD5E6" w14:textId="77777777" w:rsidR="00EF2922" w:rsidRPr="00EF2922" w:rsidRDefault="00EF2922" w:rsidP="00EF2922">
            <w:pPr>
              <w:rPr>
                <w:rFonts w:ascii="Arial" w:eastAsia="Times New Roman" w:hAnsi="Arial" w:cs="Arial"/>
                <w:spacing w:val="9"/>
                <w:kern w:val="0"/>
                <w:lang w:val="en-RO" w:eastAsia="en-GB"/>
                <w14:ligatures w14:val="none"/>
              </w:rPr>
            </w:pPr>
            <w:r w:rsidRPr="00EF2922">
              <w:rPr>
                <w:rFonts w:ascii="Arial" w:eastAsia="Times New Roman" w:hAnsi="Arial" w:cs="Arial"/>
                <w:spacing w:val="9"/>
                <w:kern w:val="0"/>
                <w:bdr w:val="single" w:sz="2" w:space="0" w:color="auto" w:frame="1"/>
                <w:lang w:val="en-RO" w:eastAsia="en-GB"/>
                <w14:ligatures w14:val="none"/>
              </w:rPr>
              <w:t>EAC-IFB</w:t>
            </w:r>
          </w:p>
        </w:tc>
      </w:tr>
    </w:tbl>
    <w:p w14:paraId="1915157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480" w:after="480"/>
        <w:outlineLvl w:val="0"/>
        <w:rPr>
          <w:rFonts w:ascii="Impact" w:eastAsia="Times New Roman" w:hAnsi="Impact" w:cs="Arial"/>
          <w:b/>
          <w:bCs/>
          <w:caps/>
          <w:color w:val="000000"/>
          <w:spacing w:val="9"/>
          <w:kern w:val="36"/>
          <w:sz w:val="48"/>
          <w:szCs w:val="48"/>
          <w:lang w:val="en-RO" w:eastAsia="en-GB"/>
          <w14:ligatures w14:val="none"/>
        </w:rPr>
      </w:pPr>
      <w:r w:rsidRPr="00EF2922">
        <w:rPr>
          <w:rFonts w:ascii="Impact" w:eastAsia="Times New Roman" w:hAnsi="Impact" w:cs="Arial"/>
          <w:b/>
          <w:bCs/>
          <w:caps/>
          <w:color w:val="000000"/>
          <w:spacing w:val="9"/>
          <w:kern w:val="36"/>
          <w:sz w:val="48"/>
          <w:szCs w:val="48"/>
          <w:bdr w:val="single" w:sz="2" w:space="0" w:color="auto" w:frame="1"/>
          <w:lang w:val="en-RO" w:eastAsia="en-GB"/>
          <w14:ligatures w14:val="none"/>
        </w:rPr>
        <w:t>Certificări</w:t>
      </w:r>
    </w:p>
    <w:p w14:paraId="58E4F9C0"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lastRenderedPageBreak/>
        <w:t>Informații pentru utilizator</w:t>
      </w:r>
    </w:p>
    <w:p w14:paraId="634E293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echipament a fost testat și s-a constatat că respectă limitele pentru un dispozitiv digital din clasa B, în conformitate cu partea 15 a Regulamentului FCC. Acest echipament generează, utilizează și poate radia energie de radiofrecvență și, dacă nu este instalat și utilizat în conformitate cu manualul de instrucțiuni al producătorului, poate cauza interferențe cu recepția radio și de televiziune.</w:t>
      </w:r>
    </w:p>
    <w:p w14:paraId="488F32F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Notificare:</w:t>
      </w:r>
      <w:r w:rsidRPr="00EF2922">
        <w:rPr>
          <w:rFonts w:ascii="Arial" w:eastAsia="Times New Roman" w:hAnsi="Arial" w:cs="Arial"/>
          <w:color w:val="000000"/>
          <w:spacing w:val="2"/>
          <w:kern w:val="0"/>
          <w:bdr w:val="single" w:sz="2" w:space="0" w:color="auto" w:frame="1"/>
          <w:lang w:val="en-RO" w:eastAsia="en-GB"/>
          <w14:ligatures w14:val="none"/>
        </w:rPr>
        <w:t> Reglementările FCC prevăd că modificările sau modificările care nu sunt aprobate în mod expres de Shure Incorporated vă pot anula autoritatea de a utiliza acest echipament.</w:t>
      </w:r>
    </w:p>
    <w:p w14:paraId="38A2F25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Aceste limite sunt concepute pentru a oferi o protecție rezonabilă împotriva interferențelor dăunătoare într-o instalație rezidențială. Acest echipament generează, utilizează și poate radia energie de radiofrecvență și, dacă nu este instalat și utilizat conform instrucțiunilor, poate cauza interferențe dăunătoare comunicațiilor radio. Cu toate acestea, nu există nicio garanție că nu vor apărea interferențe într-o anumită instalație. Dacă acest echipament provoacă interferențe dăunătoare recepției radio sau de televiziune, ceea ce poate fi determinat prin oprirea și pornirea echipamentului, utilizatorul este încurajat să încerce să corecteze interferența prin una sau mai multe dintre următoarele măsuri:</w:t>
      </w:r>
    </w:p>
    <w:p w14:paraId="5E38C24F" w14:textId="77777777" w:rsidR="00EF2922" w:rsidRPr="00EF2922" w:rsidRDefault="00EF2922" w:rsidP="00EF2922">
      <w:pPr>
        <w:numPr>
          <w:ilvl w:val="0"/>
          <w:numId w:val="2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Reorientați sau mutați antena receptoare.</w:t>
      </w:r>
    </w:p>
    <w:p w14:paraId="42833973" w14:textId="77777777" w:rsidR="00EF2922" w:rsidRPr="00EF2922" w:rsidRDefault="00EF2922" w:rsidP="00EF2922">
      <w:pPr>
        <w:numPr>
          <w:ilvl w:val="0"/>
          <w:numId w:val="2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Măriți distanța dintre echipament și receptor.</w:t>
      </w:r>
    </w:p>
    <w:p w14:paraId="3F3FC812" w14:textId="77777777" w:rsidR="00EF2922" w:rsidRPr="00EF2922" w:rsidRDefault="00EF2922" w:rsidP="00EF2922">
      <w:pPr>
        <w:numPr>
          <w:ilvl w:val="0"/>
          <w:numId w:val="2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Conectați echipamentul la o priză de pe un circuit diferit de cel la care este conectat receptorul.</w:t>
      </w:r>
    </w:p>
    <w:p w14:paraId="0CEB2579" w14:textId="77777777" w:rsidR="00EF2922" w:rsidRPr="00EF2922" w:rsidRDefault="00EF2922" w:rsidP="00EF2922">
      <w:pPr>
        <w:numPr>
          <w:ilvl w:val="0"/>
          <w:numId w:val="20"/>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Consultați distribuitorul sau un tehnician radio/TV cu experiență pentru asistență.</w:t>
      </w:r>
    </w:p>
    <w:p w14:paraId="340938A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dispozitiv respectă partea 15 a Regulamentului FCC. Funcționarea este supusă următoarelor două condiții:</w:t>
      </w:r>
    </w:p>
    <w:p w14:paraId="60CEF9CA" w14:textId="77777777" w:rsidR="00EF2922" w:rsidRPr="00EF2922" w:rsidRDefault="00EF2922" w:rsidP="00EF2922">
      <w:pPr>
        <w:numPr>
          <w:ilvl w:val="0"/>
          <w:numId w:val="2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Este posibil ca acest dispozitiv să nu cauzeze interferențe dăunătoare.</w:t>
      </w:r>
    </w:p>
    <w:p w14:paraId="7F51B124" w14:textId="77777777" w:rsidR="00EF2922" w:rsidRPr="00EF2922" w:rsidRDefault="00EF2922" w:rsidP="00EF2922">
      <w:pPr>
        <w:numPr>
          <w:ilvl w:val="0"/>
          <w:numId w:val="21"/>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dispozitiv trebuie să accepte orice interferență primită, inclusiv interferențe care pot cauza o funcționare nedorită.</w:t>
      </w:r>
    </w:p>
    <w:p w14:paraId="7C05AE7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EF2922">
        <w:rPr>
          <w:rFonts w:ascii="Arial" w:eastAsia="Times New Roman" w:hAnsi="Arial" w:cs="Arial"/>
          <w:color w:val="000000"/>
          <w:kern w:val="0"/>
          <w:bdr w:val="single" w:sz="2" w:space="0" w:color="auto" w:frame="1"/>
          <w:lang w:val="en-RO" w:eastAsia="en-GB"/>
          <w14:ligatures w14:val="none"/>
        </w:rPr>
        <w:t>Avertisment Canada pentru serviciile wireless</w:t>
      </w:r>
    </w:p>
    <w:p w14:paraId="0102AC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dispozitiv funcționează pe principiul „fără protecție, fără interferențe”. În cazul în care utilizatorul dorește să obțină protecție față de alte servicii radio care operează în aceleași benzi TV, este necesară o licență radio. Pentru mai multe detalii, consultați documentul Circulara de proceduri pentru clienți CPC-2-1-28, Licențierea voluntară a aparatelor radio de putere redusă, scutite de licență, în benzile TV.</w:t>
      </w:r>
    </w:p>
    <w:p w14:paraId="5E9D970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Ce dispositif fonctionne selon un regim de non</w:t>
      </w:r>
      <w:r w:rsidRPr="00EF2922">
        <w:rPr>
          <w:rFonts w:ascii="Arial" w:eastAsia="Times New Roman" w:hAnsi="Arial" w:cs="Arial"/>
          <w:color w:val="000000"/>
          <w:spacing w:val="2"/>
          <w:kern w:val="0"/>
          <w:bdr w:val="single" w:sz="2" w:space="0" w:color="auto" w:frame="1"/>
          <w:lang w:val="en-RO" w:eastAsia="en-GB"/>
          <w14:ligatures w14:val="none"/>
        </w:rPr>
        <w:noBreakHyphen/>
        <w:t>brouillage și de non</w:t>
      </w:r>
      <w:r w:rsidRPr="00EF2922">
        <w:rPr>
          <w:rFonts w:ascii="Arial" w:eastAsia="Times New Roman" w:hAnsi="Arial" w:cs="Arial"/>
          <w:color w:val="000000"/>
          <w:spacing w:val="2"/>
          <w:kern w:val="0"/>
          <w:bdr w:val="single" w:sz="2" w:space="0" w:color="auto" w:frame="1"/>
          <w:lang w:val="en-RO" w:eastAsia="en-GB"/>
          <w14:ligatures w14:val="none"/>
        </w:rPr>
        <w:noBreakHyphen/>
        <w:t xml:space="preserve">protection. Dacă utilizatorul trebuie să caute pentru a obține o protecție sigură împotriva altor servicii radio funcționale în aceleași benzi de televizor, o licență radio ar fi </w:t>
      </w:r>
      <w:r w:rsidRPr="00EF2922">
        <w:rPr>
          <w:rFonts w:ascii="Arial" w:eastAsia="Times New Roman" w:hAnsi="Arial" w:cs="Arial"/>
          <w:color w:val="000000"/>
          <w:spacing w:val="2"/>
          <w:kern w:val="0"/>
          <w:bdr w:val="single" w:sz="2" w:space="0" w:color="auto" w:frame="1"/>
          <w:lang w:val="en-RO" w:eastAsia="en-GB"/>
          <w14:ligatures w14:val="none"/>
        </w:rPr>
        <w:lastRenderedPageBreak/>
        <w:t>necesară. Pentru a cunoaște plus, vă rugăm să consultați Circulara procedurilor privind clienții CPC-2-1-28, Licența de licență pe o bază voluntară pentru aparatele radio de slabă putere scutite de licență și exploatate în bandele de televiziune d'Innovation, Sciences et Développement économique Canada.</w:t>
      </w:r>
    </w:p>
    <w:p w14:paraId="5EB8DC8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dispozitiv conține emițător(i)/receptor(i) scutit(e) de licență care respectă RSS-urile scutite de licență ale Ministerului pentru Inovație, Știință și Dezvoltare Economică din Canada. Funcționarea este supusă următoarelor două condiții:</w:t>
      </w:r>
    </w:p>
    <w:p w14:paraId="74F16103" w14:textId="77777777" w:rsidR="00EF2922" w:rsidRPr="00EF2922" w:rsidRDefault="00EF2922" w:rsidP="00EF2922">
      <w:pPr>
        <w:numPr>
          <w:ilvl w:val="0"/>
          <w:numId w:val="2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Este posibil ca acest dispozitiv să nu cauzeze interferențe.</w:t>
      </w:r>
    </w:p>
    <w:p w14:paraId="6B23A9D9" w14:textId="77777777" w:rsidR="00EF2922" w:rsidRPr="00EF2922" w:rsidRDefault="00EF2922" w:rsidP="00EF2922">
      <w:pPr>
        <w:numPr>
          <w:ilvl w:val="0"/>
          <w:numId w:val="22"/>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Acest dispozitiv trebuie să accepte orice interferență, inclusiv interferențe care pot cauza funcționarea nedorită a dispozitivului.</w:t>
      </w:r>
    </w:p>
    <w:p w14:paraId="5237CA1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L'émetteur/recepteur exempt de license conținutul în prezentul aparat este conform CNR d'Innovation, Sciences et Développement économique Canada aplicabile la aparatele radio exempts de licență. L'exploitation est autorisée aux două condiții următoarele:</w:t>
      </w:r>
    </w:p>
    <w:p w14:paraId="4151A41C" w14:textId="77777777" w:rsidR="00EF2922" w:rsidRPr="00EF2922" w:rsidRDefault="00EF2922" w:rsidP="00EF2922">
      <w:pPr>
        <w:numPr>
          <w:ilvl w:val="0"/>
          <w:numId w:val="2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L'appareil ne doit pas produce de brouillage;</w:t>
      </w:r>
    </w:p>
    <w:p w14:paraId="74119D63" w14:textId="77777777" w:rsidR="00EF2922" w:rsidRPr="00EF2922" w:rsidRDefault="00EF2922" w:rsidP="00EF2922">
      <w:pPr>
        <w:numPr>
          <w:ilvl w:val="0"/>
          <w:numId w:val="23"/>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L'appareil doit accepter tout brouillage radioélectrique subi, même si le brouillage este susceptibil de a compromite funcționarea.</w:t>
      </w:r>
    </w:p>
    <w:p w14:paraId="62CFC949"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Antena (antenele) trebuie instalată(e) astfel încât să se mențină în permanență o distanță minimă de 20 cm între radiator (antenă) și toate persoanele.</w:t>
      </w:r>
    </w:p>
    <w:p w14:paraId="5869EC2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La ou les antennes trebuie să fie instalate de telle façon cu o distanță de separare minimă de 20 cm, soit mentenue entre le radiateur (antenne) et toute personne à tout moment.</w:t>
      </w:r>
    </w:p>
    <w:p w14:paraId="72949C6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Modificările sau modificările care nu sunt aprobate în mod expres de producător ar putea anula autoritatea utilizatorului de a opera echipamentul.</w:t>
      </w:r>
    </w:p>
    <w:p w14:paraId="4A421E1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Directiva privind deșeurile de echipamente electrice și electronice (DEEE)</w:t>
      </w:r>
    </w:p>
    <w:p w14:paraId="658A7655" w14:textId="2006324D" w:rsidR="00EF2922" w:rsidRPr="00EF2922" w:rsidRDefault="00EF2922" w:rsidP="00EF2922">
      <w:pPr>
        <w:shd w:val="clear" w:color="auto" w:fill="FFFFFF"/>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 xml:space="preserve"> INCLUDEPICTURE "https://pubs2-images.prod.shureweb.eu/proxy/graphics/weee_logo.png" \* MERGEFORMATINET </w:instrText>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noProof/>
          <w:color w:val="000000"/>
          <w:spacing w:val="2"/>
          <w:kern w:val="0"/>
          <w:lang w:val="en-RO" w:eastAsia="en-GB"/>
          <w14:ligatures w14:val="none"/>
        </w:rPr>
        <w:drawing>
          <wp:inline distT="0" distB="0" distL="0" distR="0" wp14:anchorId="3E279FAE" wp14:editId="2344C354">
            <wp:extent cx="406400" cy="558800"/>
            <wp:effectExtent l="0" t="0" r="0" b="0"/>
            <wp:docPr id="80988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400" cy="558800"/>
                    </a:xfrm>
                    <a:prstGeom prst="rect">
                      <a:avLst/>
                    </a:prstGeom>
                    <a:noFill/>
                    <a:ln>
                      <a:noFill/>
                    </a:ln>
                  </pic:spPr>
                </pic:pic>
              </a:graphicData>
            </a:graphic>
          </wp:inline>
        </w:drawing>
      </w:r>
      <w:r w:rsidRPr="00EF2922">
        <w:rPr>
          <w:rFonts w:ascii="Arial" w:eastAsia="Times New Roman" w:hAnsi="Arial" w:cs="Arial"/>
          <w:color w:val="000000"/>
          <w:spacing w:val="2"/>
          <w:kern w:val="0"/>
          <w:lang w:val="en-RO" w:eastAsia="en-GB"/>
          <w14:ligatures w14:val="none"/>
        </w:rPr>
        <w:fldChar w:fldCharType="end"/>
      </w:r>
    </w:p>
    <w:p w14:paraId="0BEA8A6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 Uniunea Europeană și Regatul Unit, această etichetă indică faptul că acest produs nu trebuie eliminat împreună cu gunoiul menajer. Acesta trebuie depozitat la o instalație adecvată pentru a permite recuperarea și reciclarea.</w:t>
      </w:r>
    </w:p>
    <w:p w14:paraId="3FCB432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Directiva privind înregistrarea, evaluarea și autorizarea substanțelor chimice (REACH)</w:t>
      </w:r>
    </w:p>
    <w:p w14:paraId="73DB93B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 xml:space="preserve">REACH (Înregistrarea, Evaluarea, Autorizarea Substanțelor Chimice) este cadrul de reglementare a substanțelor chimice din Uniunea Europeană (UE) și Regatul Unit (RU). Informațiile privind substanțele care prezintă motive de îngrijorare </w:t>
      </w:r>
      <w:r w:rsidRPr="00EF2922">
        <w:rPr>
          <w:rFonts w:ascii="Arial" w:eastAsia="Times New Roman" w:hAnsi="Arial" w:cs="Arial"/>
          <w:color w:val="000000"/>
          <w:spacing w:val="2"/>
          <w:kern w:val="0"/>
          <w:bdr w:val="single" w:sz="2" w:space="0" w:color="auto" w:frame="1"/>
          <w:lang w:val="en-RO" w:eastAsia="en-GB"/>
          <w14:ligatures w14:val="none"/>
        </w:rPr>
        <w:lastRenderedPageBreak/>
        <w:t>deosebită conținute în produsele Shure într-o concentrație mai mare de 0,1% din greutate (g/g) sunt disponibile la cerere.</w:t>
      </w:r>
    </w:p>
    <w:p w14:paraId="49BFCDC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Testarea conformității EMC se bazează pe utilizarea tipurilor de cablu furnizate și recomandate. Utilizarea altor tipuri de cablu poate degrada performanța EMC.</w:t>
      </w:r>
    </w:p>
    <w:p w14:paraId="5E46C2A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Tahoma" w:eastAsia="Times New Roman" w:hAnsi="Tahoma" w:cs="Tahoma"/>
          <w:color w:val="000000"/>
          <w:spacing w:val="2"/>
          <w:kern w:val="0"/>
          <w:bdr w:val="single" w:sz="2" w:space="0" w:color="auto" w:frame="1"/>
          <w:lang w:val="en-RO" w:eastAsia="en-GB"/>
          <w14:ligatures w14:val="none"/>
        </w:rPr>
        <w:t>เครื่องโทรคมนาคมและอุปกรณ์นี้มีสคมีสมีสมะอุปกรณ์นี้มีสคมีื่องโทรคมนาคมแล</w:t>
      </w:r>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Tahoma" w:eastAsia="Times New Roman" w:hAnsi="Tahoma" w:cs="Tahoma"/>
          <w:color w:val="000000"/>
          <w:spacing w:val="2"/>
          <w:kern w:val="0"/>
          <w:bdr w:val="single" w:sz="2" w:space="0" w:color="auto" w:frame="1"/>
          <w:lang w:val="en-RO" w:eastAsia="en-GB"/>
          <w14:ligatures w14:val="none"/>
        </w:rPr>
        <w:t>คล้องตามมาตรฐานหรือ</w:t>
      </w:r>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Tahoma" w:eastAsia="Times New Roman" w:hAnsi="Tahoma" w:cs="Tahoma"/>
          <w:color w:val="000000"/>
          <w:spacing w:val="2"/>
          <w:kern w:val="0"/>
          <w:bdr w:val="single" w:sz="2" w:space="0" w:color="auto" w:frame="1"/>
          <w:lang w:val="en-RO" w:eastAsia="en-GB"/>
          <w14:ligatures w14:val="none"/>
        </w:rPr>
        <w:t>ข้อกำหนดทางเทคนิคของ</w:t>
      </w:r>
      <w:r w:rsidRPr="00EF2922">
        <w:rPr>
          <w:rFonts w:ascii="Arial" w:eastAsia="Times New Roman" w:hAnsi="Arial" w:cs="Arial"/>
          <w:color w:val="000000"/>
          <w:spacing w:val="2"/>
          <w:kern w:val="0"/>
          <w:bdr w:val="single" w:sz="2" w:space="0" w:color="auto" w:frame="1"/>
          <w:lang w:val="en-RO" w:eastAsia="en-GB"/>
          <w14:ligatures w14:val="none"/>
        </w:rPr>
        <w:t xml:space="preserve"> Nu.</w:t>
      </w:r>
    </w:p>
    <w:p w14:paraId="5BA58B2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390" w:after="390"/>
        <w:outlineLvl w:val="2"/>
        <w:rPr>
          <w:rFonts w:ascii="Arial" w:eastAsia="Times New Roman" w:hAnsi="Arial" w:cs="Arial"/>
          <w:color w:val="000000"/>
          <w:spacing w:val="3"/>
          <w:kern w:val="0"/>
          <w:sz w:val="27"/>
          <w:szCs w:val="27"/>
          <w:lang w:val="en-RO" w:eastAsia="en-GB"/>
          <w14:ligatures w14:val="none"/>
        </w:rPr>
      </w:pPr>
      <w:r w:rsidRPr="00EF2922">
        <w:rPr>
          <w:rFonts w:ascii="Arial" w:eastAsia="Times New Roman" w:hAnsi="Arial" w:cs="Arial"/>
          <w:color w:val="000000"/>
          <w:spacing w:val="3"/>
          <w:kern w:val="0"/>
          <w:sz w:val="27"/>
          <w:szCs w:val="27"/>
          <w:bdr w:val="single" w:sz="2" w:space="0" w:color="auto" w:frame="1"/>
          <w:lang w:val="en-RO" w:eastAsia="en-GB"/>
          <w14:ligatures w14:val="none"/>
        </w:rPr>
        <w:t>Avertisment în Australia pentru serviciile wireless</w:t>
      </w:r>
    </w:p>
    <w:p w14:paraId="78D944B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AVERTISMENT:</w:t>
      </w:r>
      <w:r w:rsidRPr="00EF2922">
        <w:rPr>
          <w:rFonts w:ascii="Arial" w:eastAsia="Times New Roman" w:hAnsi="Arial" w:cs="Arial"/>
          <w:color w:val="000000"/>
          <w:spacing w:val="2"/>
          <w:kern w:val="0"/>
          <w:bdr w:val="single" w:sz="2" w:space="0" w:color="auto" w:frame="1"/>
          <w:lang w:val="en-RO" w:eastAsia="en-GB"/>
          <w14:ligatures w14:val="none"/>
        </w:rPr>
        <w:t> Acest dispozitiv funcționează în baza unei licențe de clasă ACMA și trebuie să respecte toate condițiile respectivei licențe, inclusiv frecvențele de funcționare.</w:t>
      </w:r>
    </w:p>
    <w:p w14:paraId="422F0F7B"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P9RA+</w:t>
      </w:r>
    </w:p>
    <w:p w14:paraId="2271AF1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Aprobat în conformitate cu prevederile Declarației de conformitate (DoC) din FCC Partea 15.</w:t>
      </w:r>
    </w:p>
    <w:p w14:paraId="7E56AAD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Certificat de ISED în Canada în conformitate cu RSS-123.</w:t>
      </w:r>
    </w:p>
    <w:p w14:paraId="5DE40D3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一）</w:t>
      </w:r>
      <w:proofErr w:type="gramStart"/>
      <w:r w:rsidRPr="00EF2922">
        <w:rPr>
          <w:rFonts w:ascii="MS Gothic" w:eastAsia="MS Gothic" w:hAnsi="MS Gothic" w:cs="MS Gothic" w:hint="eastAsia"/>
          <w:color w:val="000000"/>
          <w:spacing w:val="2"/>
          <w:kern w:val="0"/>
          <w:bdr w:val="single" w:sz="2" w:space="0" w:color="auto" w:frame="1"/>
          <w:lang w:val="en-RO" w:eastAsia="en-GB"/>
          <w14:ligatures w14:val="none"/>
        </w:rPr>
        <w:t>本</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EF2922">
        <w:rPr>
          <w:rFonts w:ascii="MS Gothic" w:eastAsia="MS Gothic" w:hAnsi="MS Gothic" w:cs="MS Gothic" w:hint="eastAsia"/>
          <w:color w:val="000000"/>
          <w:spacing w:val="2"/>
          <w:kern w:val="0"/>
          <w:bdr w:val="single" w:sz="2" w:space="0" w:color="auto" w:frame="1"/>
          <w:lang w:val="en-RO" w:eastAsia="en-GB"/>
          <w14:ligatures w14:val="none"/>
        </w:rPr>
        <w:t>品符合</w:t>
      </w:r>
      <w:proofErr w:type="spellEnd"/>
      <w:r w:rsidRPr="00EF2922">
        <w:rPr>
          <w:rFonts w:ascii="Arial" w:eastAsia="Times New Roman" w:hAnsi="Arial" w:cs="Arial"/>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微功率短距离无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线电发</w:t>
      </w:r>
      <w:r w:rsidRPr="00EF2922">
        <w:rPr>
          <w:rFonts w:ascii="MS Gothic" w:eastAsia="MS Gothic" w:hAnsi="MS Gothic" w:cs="MS Gothic" w:hint="eastAsia"/>
          <w:color w:val="000000"/>
          <w:spacing w:val="2"/>
          <w:kern w:val="0"/>
          <w:bdr w:val="single" w:sz="2" w:space="0" w:color="auto" w:frame="1"/>
          <w:lang w:val="en-RO" w:eastAsia="en-GB"/>
          <w14:ligatures w14:val="none"/>
        </w:rPr>
        <w:t>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EF2922">
        <w:rPr>
          <w:rFonts w:ascii="MS Gothic" w:eastAsia="MS Gothic" w:hAnsi="MS Gothic" w:cs="MS Gothic" w:hint="eastAsia"/>
          <w:color w:val="000000"/>
          <w:spacing w:val="2"/>
          <w:kern w:val="0"/>
          <w:bdr w:val="single" w:sz="2" w:space="0" w:color="auto" w:frame="1"/>
          <w:lang w:val="en-RO" w:eastAsia="en-GB"/>
          <w14:ligatures w14:val="none"/>
        </w:rPr>
        <w:t>目</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录</w:t>
      </w:r>
      <w:r w:rsidRPr="00EF2922">
        <w:rPr>
          <w:rFonts w:ascii="MS Gothic" w:eastAsia="MS Gothic" w:hAnsi="MS Gothic" w:cs="MS Gothic" w:hint="eastAsia"/>
          <w:color w:val="000000"/>
          <w:spacing w:val="2"/>
          <w:kern w:val="0"/>
          <w:bdr w:val="single" w:sz="2" w:space="0" w:color="auto" w:frame="1"/>
          <w:lang w:val="en-RO" w:eastAsia="en-GB"/>
          <w14:ligatures w14:val="none"/>
        </w:rPr>
        <w:t>和技</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术</w:t>
      </w:r>
      <w:r w:rsidRPr="00EF2922">
        <w:rPr>
          <w:rFonts w:ascii="MS Gothic" w:eastAsia="MS Gothic" w:hAnsi="MS Gothic" w:cs="MS Gothic" w:hint="eastAsia"/>
          <w:color w:val="000000"/>
          <w:spacing w:val="2"/>
          <w:kern w:val="0"/>
          <w:bdr w:val="single" w:sz="2" w:space="0" w:color="auto" w:frame="1"/>
          <w:lang w:val="en-RO" w:eastAsia="en-GB"/>
          <w14:ligatures w14:val="none"/>
        </w:rPr>
        <w:t>要求</w:t>
      </w:r>
      <w:proofErr w:type="spellEnd"/>
      <w:r w:rsidRPr="00EF2922">
        <w:rPr>
          <w:rFonts w:ascii="Arial" w:eastAsia="Times New Roman" w:hAnsi="Arial" w:cs="Arial"/>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的具体条款和使用</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EF2922">
        <w:rPr>
          <w:rFonts w:ascii="MS Gothic" w:eastAsia="MS Gothic" w:hAnsi="MS Gothic" w:cs="MS Gothic" w:hint="eastAsia"/>
          <w:color w:val="000000"/>
          <w:spacing w:val="2"/>
          <w:kern w:val="0"/>
          <w:bdr w:val="single" w:sz="2" w:space="0" w:color="auto" w:frame="1"/>
          <w:lang w:val="en-RO" w:eastAsia="en-GB"/>
          <w14:ligatures w14:val="none"/>
        </w:rPr>
        <w:t>景</w:t>
      </w:r>
      <w:proofErr w:type="spellEnd"/>
      <w:proofErr w:type="gramEnd"/>
      <w:r w:rsidRPr="00EF2922">
        <w:rPr>
          <w:rFonts w:ascii="MS Gothic" w:eastAsia="MS Gothic" w:hAnsi="MS Gothic" w:cs="MS Gothic"/>
          <w:color w:val="000000"/>
          <w:spacing w:val="2"/>
          <w:kern w:val="0"/>
          <w:bdr w:val="single" w:sz="2" w:space="0" w:color="auto" w:frame="1"/>
          <w:lang w:val="en-RO" w:eastAsia="en-GB"/>
          <w14:ligatures w14:val="none"/>
        </w:rPr>
        <w:t>；</w:t>
      </w:r>
    </w:p>
    <w:p w14:paraId="10DC93A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二）不得擅自改</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变</w:t>
      </w:r>
      <w:r w:rsidRPr="00EF2922">
        <w:rPr>
          <w:rFonts w:ascii="MS Gothic" w:eastAsia="MS Gothic" w:hAnsi="MS Gothic" w:cs="MS Gothic" w:hint="eastAsia"/>
          <w:color w:val="000000"/>
          <w:spacing w:val="2"/>
          <w:kern w:val="0"/>
          <w:bdr w:val="single" w:sz="2" w:space="0" w:color="auto" w:frame="1"/>
          <w:lang w:val="en-RO" w:eastAsia="en-GB"/>
          <w14:ligatures w14:val="none"/>
        </w:rPr>
        <w:t>使用</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EF2922">
        <w:rPr>
          <w:rFonts w:ascii="MS Gothic" w:eastAsia="MS Gothic" w:hAnsi="MS Gothic" w:cs="MS Gothic" w:hint="eastAsia"/>
          <w:color w:val="000000"/>
          <w:spacing w:val="2"/>
          <w:kern w:val="0"/>
          <w:bdr w:val="single" w:sz="2" w:space="0" w:color="auto" w:frame="1"/>
          <w:lang w:val="en-RO" w:eastAsia="en-GB"/>
          <w14:ligatures w14:val="none"/>
        </w:rPr>
        <w:t>景或使用条件、</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扩</w:t>
      </w:r>
      <w:r w:rsidRPr="00EF2922">
        <w:rPr>
          <w:rFonts w:ascii="MS Gothic" w:eastAsia="MS Gothic" w:hAnsi="MS Gothic" w:cs="MS Gothic" w:hint="eastAsia"/>
          <w:color w:val="000000"/>
          <w:spacing w:val="2"/>
          <w:kern w:val="0"/>
          <w:bdr w:val="single" w:sz="2" w:space="0" w:color="auto" w:frame="1"/>
          <w:lang w:val="en-RO" w:eastAsia="en-GB"/>
          <w14:ligatures w14:val="none"/>
        </w:rPr>
        <w:t>大</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EF2922">
        <w:rPr>
          <w:rFonts w:ascii="MS Gothic" w:eastAsia="MS Gothic" w:hAnsi="MS Gothic" w:cs="MS Gothic" w:hint="eastAsia"/>
          <w:color w:val="000000"/>
          <w:spacing w:val="2"/>
          <w:kern w:val="0"/>
          <w:bdr w:val="single" w:sz="2" w:space="0" w:color="auto" w:frame="1"/>
          <w:lang w:val="en-RO" w:eastAsia="en-GB"/>
          <w14:ligatures w14:val="none"/>
        </w:rPr>
        <w:t>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EF2922">
        <w:rPr>
          <w:rFonts w:ascii="MS Gothic" w:eastAsia="MS Gothic" w:hAnsi="MS Gothic" w:cs="MS Gothic" w:hint="eastAsia"/>
          <w:color w:val="000000"/>
          <w:spacing w:val="2"/>
          <w:kern w:val="0"/>
          <w:bdr w:val="single" w:sz="2" w:space="0" w:color="auto" w:frame="1"/>
          <w:lang w:val="en-RO" w:eastAsia="en-GB"/>
          <w14:ligatures w14:val="none"/>
        </w:rPr>
        <w:t>率范</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围</w:t>
      </w:r>
      <w:r w:rsidRPr="00EF2922">
        <w:rPr>
          <w:rFonts w:ascii="MS Gothic" w:eastAsia="MS Gothic" w:hAnsi="MS Gothic" w:cs="MS Gothic" w:hint="eastAsia"/>
          <w:color w:val="000000"/>
          <w:spacing w:val="2"/>
          <w:kern w:val="0"/>
          <w:bdr w:val="single" w:sz="2" w:space="0" w:color="auto" w:frame="1"/>
          <w:lang w:val="en-RO" w:eastAsia="en-GB"/>
          <w14:ligatures w14:val="none"/>
        </w:rPr>
        <w:t>、加大</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EF2922">
        <w:rPr>
          <w:rFonts w:ascii="MS Gothic" w:eastAsia="MS Gothic" w:hAnsi="MS Gothic" w:cs="MS Gothic" w:hint="eastAsia"/>
          <w:color w:val="000000"/>
          <w:spacing w:val="2"/>
          <w:kern w:val="0"/>
          <w:bdr w:val="single" w:sz="2" w:space="0" w:color="auto" w:frame="1"/>
          <w:lang w:val="en-RO" w:eastAsia="en-GB"/>
          <w14:ligatures w14:val="none"/>
        </w:rPr>
        <w:t>射功率（包括</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额</w:t>
      </w:r>
      <w:r w:rsidRPr="00EF2922">
        <w:rPr>
          <w:rFonts w:ascii="MS Gothic" w:eastAsia="MS Gothic" w:hAnsi="MS Gothic" w:cs="MS Gothic" w:hint="eastAsia"/>
          <w:color w:val="000000"/>
          <w:spacing w:val="2"/>
          <w:kern w:val="0"/>
          <w:bdr w:val="single" w:sz="2" w:space="0" w:color="auto" w:frame="1"/>
          <w:lang w:val="en-RO" w:eastAsia="en-GB"/>
          <w14:ligatures w14:val="none"/>
        </w:rPr>
        <w:t>外加装射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EF2922">
        <w:rPr>
          <w:rFonts w:ascii="MS Gothic" w:eastAsia="MS Gothic" w:hAnsi="MS Gothic" w:cs="MS Gothic" w:hint="eastAsia"/>
          <w:color w:val="000000"/>
          <w:spacing w:val="2"/>
          <w:kern w:val="0"/>
          <w:bdr w:val="single" w:sz="2" w:space="0" w:color="auto" w:frame="1"/>
          <w:lang w:val="en-RO" w:eastAsia="en-GB"/>
          <w14:ligatures w14:val="none"/>
        </w:rPr>
        <w:t>功率放大器</w:t>
      </w:r>
      <w:proofErr w:type="spellEnd"/>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不得擅自更改</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发</w:t>
      </w:r>
      <w:r w:rsidRPr="00EF2922">
        <w:rPr>
          <w:rFonts w:ascii="MS Gothic" w:eastAsia="MS Gothic" w:hAnsi="MS Gothic" w:cs="MS Gothic" w:hint="eastAsia"/>
          <w:color w:val="000000"/>
          <w:spacing w:val="2"/>
          <w:kern w:val="0"/>
          <w:bdr w:val="single" w:sz="2" w:space="0" w:color="auto" w:frame="1"/>
          <w:lang w:val="en-RO" w:eastAsia="en-GB"/>
          <w14:ligatures w14:val="none"/>
        </w:rPr>
        <w:t>射天</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791889B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三）不得</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EF2922">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EF2922">
        <w:rPr>
          <w:rFonts w:ascii="MS Gothic" w:eastAsia="MS Gothic" w:hAnsi="MS Gothic" w:cs="MS Gothic" w:hint="eastAsia"/>
          <w:color w:val="000000"/>
          <w:spacing w:val="2"/>
          <w:kern w:val="0"/>
          <w:bdr w:val="single" w:sz="2" w:space="0" w:color="auto" w:frame="1"/>
          <w:lang w:val="en-RO" w:eastAsia="en-GB"/>
          <w14:ligatures w14:val="none"/>
        </w:rPr>
        <w:t>台（站）</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EF2922">
        <w:rPr>
          <w:rFonts w:ascii="MS Gothic" w:eastAsia="MS Gothic" w:hAnsi="MS Gothic" w:cs="MS Gothic" w:hint="eastAsia"/>
          <w:color w:val="000000"/>
          <w:spacing w:val="2"/>
          <w:kern w:val="0"/>
          <w:bdr w:val="single" w:sz="2" w:space="0" w:color="auto" w:frame="1"/>
          <w:lang w:val="en-RO" w:eastAsia="en-GB"/>
          <w14:ligatures w14:val="none"/>
        </w:rPr>
        <w:t>生有害干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EF2922">
        <w:rPr>
          <w:rFonts w:ascii="MS Gothic" w:eastAsia="MS Gothic" w:hAnsi="MS Gothic" w:cs="MS Gothic" w:hint="eastAsia"/>
          <w:color w:val="000000"/>
          <w:spacing w:val="2"/>
          <w:kern w:val="0"/>
          <w:bdr w:val="single" w:sz="2" w:space="0" w:color="auto" w:frame="1"/>
          <w:lang w:val="en-RO" w:eastAsia="en-GB"/>
          <w14:ligatures w14:val="none"/>
        </w:rPr>
        <w:t>，也不得提出得提出尤</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叐</w:t>
      </w:r>
      <w:r w:rsidRPr="00EF2922">
        <w:rPr>
          <w:rFonts w:ascii="MS Gothic" w:eastAsia="MS Gothic" w:hAnsi="MS Gothic" w:cs="MS Gothic" w:hint="eastAsia"/>
          <w:color w:val="000000"/>
          <w:spacing w:val="2"/>
          <w:kern w:val="0"/>
          <w:bdr w:val="single" w:sz="2" w:space="0" w:color="auto" w:frame="1"/>
          <w:lang w:val="en-RO" w:eastAsia="en-GB"/>
          <w14:ligatures w14:val="none"/>
        </w:rPr>
        <w:t>出台氤出台有得</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EF2922">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EF2922">
        <w:rPr>
          <w:rFonts w:ascii="MS Gothic" w:eastAsia="MS Gothic" w:hAnsi="MS Gothic" w:cs="MS Gothic" w:hint="eastAsia"/>
          <w:color w:val="000000"/>
          <w:spacing w:val="2"/>
          <w:kern w:val="0"/>
          <w:bdr w:val="single" w:sz="2" w:space="0" w:color="auto" w:frame="1"/>
          <w:lang w:val="en-RO" w:eastAsia="en-GB"/>
          <w14:ligatures w14:val="none"/>
        </w:rPr>
        <w:t>台（站）</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EF2922">
        <w:rPr>
          <w:rFonts w:ascii="MS Gothic" w:eastAsia="MS Gothic" w:hAnsi="MS Gothic" w:cs="MS Gothic" w:hint="eastAsia"/>
          <w:color w:val="000000"/>
          <w:spacing w:val="2"/>
          <w:kern w:val="0"/>
          <w:bdr w:val="single" w:sz="2" w:space="0" w:color="auto" w:frame="1"/>
          <w:lang w:val="en-RO" w:eastAsia="en-GB"/>
          <w14:ligatures w14:val="none"/>
        </w:rPr>
        <w:t>生有害干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3D67FF7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四）</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EF2922">
        <w:rPr>
          <w:rFonts w:ascii="MS Gothic" w:eastAsia="MS Gothic" w:hAnsi="MS Gothic" w:cs="MS Gothic" w:hint="eastAsia"/>
          <w:color w:val="000000"/>
          <w:spacing w:val="2"/>
          <w:kern w:val="0"/>
          <w:bdr w:val="single" w:sz="2" w:space="0" w:color="auto" w:frame="1"/>
          <w:lang w:val="en-RO" w:eastAsia="en-GB"/>
          <w14:ligatures w14:val="none"/>
        </w:rPr>
        <w:t>当承受</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辐</w:t>
      </w:r>
      <w:r w:rsidRPr="00EF2922">
        <w:rPr>
          <w:rFonts w:ascii="MS Gothic" w:eastAsia="MS Gothic" w:hAnsi="MS Gothic" w:cs="MS Gothic" w:hint="eastAsia"/>
          <w:color w:val="000000"/>
          <w:spacing w:val="2"/>
          <w:kern w:val="0"/>
          <w:bdr w:val="single" w:sz="2" w:space="0" w:color="auto" w:frame="1"/>
          <w:lang w:val="en-RO" w:eastAsia="en-GB"/>
          <w14:ligatures w14:val="none"/>
        </w:rPr>
        <w:t>射射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频</w:t>
      </w:r>
      <w:r w:rsidRPr="00EF2922">
        <w:rPr>
          <w:rFonts w:ascii="MS Gothic" w:eastAsia="MS Gothic" w:hAnsi="MS Gothic" w:cs="MS Gothic" w:hint="eastAsia"/>
          <w:color w:val="000000"/>
          <w:spacing w:val="2"/>
          <w:kern w:val="0"/>
          <w:bdr w:val="single" w:sz="2" w:space="0" w:color="auto" w:frame="1"/>
          <w:lang w:val="en-RO" w:eastAsia="en-GB"/>
          <w14:ligatures w14:val="none"/>
        </w:rPr>
        <w:t>能量的工</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业</w:t>
      </w:r>
      <w:r w:rsidRPr="00EF2922">
        <w:rPr>
          <w:rFonts w:ascii="MS Gothic" w:eastAsia="MS Gothic" w:hAnsi="MS Gothic" w:cs="MS Gothic" w:hint="eastAsia"/>
          <w:color w:val="000000"/>
          <w:spacing w:val="2"/>
          <w:kern w:val="0"/>
          <w:bdr w:val="single" w:sz="2" w:space="0" w:color="auto" w:frame="1"/>
          <w:lang w:val="en-RO" w:eastAsia="en-GB"/>
          <w14:ligatures w14:val="none"/>
        </w:rPr>
        <w:t>、科学及医</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疗</w:t>
      </w:r>
      <w:proofErr w:type="spellEnd"/>
      <w:r w:rsidRPr="00EF2922">
        <w:rPr>
          <w:rFonts w:ascii="MS Gothic" w:eastAsia="MS Gothic" w:hAnsi="MS Gothic" w:cs="MS Gothic" w:hint="eastAsia"/>
          <w:color w:val="000000"/>
          <w:spacing w:val="2"/>
          <w:kern w:val="0"/>
          <w:bdr w:val="single" w:sz="2" w:space="0" w:color="auto" w:frame="1"/>
          <w:lang w:val="en-RO" w:eastAsia="en-GB"/>
          <w14:ligatures w14:val="none"/>
        </w:rPr>
        <w:t>（</w:t>
      </w:r>
      <w:r w:rsidRPr="00EF2922">
        <w:rPr>
          <w:rFonts w:ascii="Arial" w:eastAsia="Times New Roman" w:hAnsi="Arial" w:cs="Arial"/>
          <w:color w:val="000000"/>
          <w:spacing w:val="2"/>
          <w:kern w:val="0"/>
          <w:bdr w:val="single" w:sz="2" w:space="0" w:color="auto" w:frame="1"/>
          <w:lang w:val="en-RO" w:eastAsia="en-GB"/>
          <w14:ligatures w14:val="none"/>
        </w:rPr>
        <w:t>IS M</w:t>
      </w: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EF2922">
        <w:rPr>
          <w:rFonts w:ascii="MS Gothic" w:eastAsia="MS Gothic" w:hAnsi="MS Gothic" w:cs="MS Gothic" w:hint="eastAsia"/>
          <w:color w:val="000000"/>
          <w:spacing w:val="2"/>
          <w:kern w:val="0"/>
          <w:bdr w:val="single" w:sz="2" w:space="0" w:color="auto" w:frame="1"/>
          <w:lang w:val="en-RO" w:eastAsia="en-GB"/>
          <w14:ligatures w14:val="none"/>
        </w:rPr>
        <w:t>用</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EF2922">
        <w:rPr>
          <w:rFonts w:ascii="MS Gothic" w:eastAsia="MS Gothic" w:hAnsi="MS Gothic" w:cs="MS Gothic" w:hint="eastAsia"/>
          <w:color w:val="000000"/>
          <w:spacing w:val="2"/>
          <w:kern w:val="0"/>
          <w:bdr w:val="single" w:sz="2" w:space="0" w:color="auto" w:frame="1"/>
          <w:lang w:val="en-RO" w:eastAsia="en-GB"/>
          <w14:ligatures w14:val="none"/>
        </w:rPr>
        <w:t>的干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EF2922">
        <w:rPr>
          <w:rFonts w:ascii="MS Gothic" w:eastAsia="MS Gothic" w:hAnsi="MS Gothic" w:cs="MS Gothic" w:hint="eastAsia"/>
          <w:color w:val="000000"/>
          <w:spacing w:val="2"/>
          <w:kern w:val="0"/>
          <w:bdr w:val="single" w:sz="2" w:space="0" w:color="auto" w:frame="1"/>
          <w:lang w:val="en-RO" w:eastAsia="en-GB"/>
          <w14:ligatures w14:val="none"/>
        </w:rPr>
        <w:t>或其他合法的无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EF2922">
        <w:rPr>
          <w:rFonts w:ascii="MS Gothic" w:eastAsia="MS Gothic" w:hAnsi="MS Gothic" w:cs="MS Gothic" w:hint="eastAsia"/>
          <w:color w:val="000000"/>
          <w:spacing w:val="2"/>
          <w:kern w:val="0"/>
          <w:bdr w:val="single" w:sz="2" w:space="0" w:color="auto" w:frame="1"/>
          <w:lang w:val="en-RO" w:eastAsia="en-GB"/>
          <w14:ligatures w14:val="none"/>
        </w:rPr>
        <w:t>台（站）干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59C0EEF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w:t>
      </w: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五）如</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对</w:t>
      </w:r>
      <w:r w:rsidRPr="00EF2922">
        <w:rPr>
          <w:rFonts w:ascii="MS Gothic" w:eastAsia="MS Gothic" w:hAnsi="MS Gothic" w:cs="MS Gothic" w:hint="eastAsia"/>
          <w:color w:val="000000"/>
          <w:spacing w:val="2"/>
          <w:kern w:val="0"/>
          <w:bdr w:val="single" w:sz="2" w:space="0" w:color="auto" w:frame="1"/>
          <w:lang w:val="en-RO" w:eastAsia="en-GB"/>
          <w14:ligatures w14:val="none"/>
        </w:rPr>
        <w:t>其他合法的无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EF2922">
        <w:rPr>
          <w:rFonts w:ascii="MS Gothic" w:eastAsia="MS Gothic" w:hAnsi="MS Gothic" w:cs="MS Gothic" w:hint="eastAsia"/>
          <w:color w:val="000000"/>
          <w:spacing w:val="2"/>
          <w:kern w:val="0"/>
          <w:bdr w:val="single" w:sz="2" w:space="0" w:color="auto" w:frame="1"/>
          <w:lang w:val="en-RO" w:eastAsia="en-GB"/>
          <w14:ligatures w14:val="none"/>
        </w:rPr>
        <w:t>台（站）</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产</w:t>
      </w:r>
      <w:r w:rsidRPr="00EF2922">
        <w:rPr>
          <w:rFonts w:ascii="MS Gothic" w:eastAsia="MS Gothic" w:hAnsi="MS Gothic" w:cs="MS Gothic" w:hint="eastAsia"/>
          <w:color w:val="000000"/>
          <w:spacing w:val="2"/>
          <w:kern w:val="0"/>
          <w:bdr w:val="single" w:sz="2" w:space="0" w:color="auto" w:frame="1"/>
          <w:lang w:val="en-RO" w:eastAsia="en-GB"/>
          <w14:ligatures w14:val="none"/>
        </w:rPr>
        <w:t>生有害干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扰时</w:t>
      </w:r>
      <w:r w:rsidRPr="00EF2922">
        <w:rPr>
          <w:rFonts w:ascii="MS Gothic" w:eastAsia="MS Gothic" w:hAnsi="MS Gothic" w:cs="MS Gothic" w:hint="eastAsia"/>
          <w:color w:val="000000"/>
          <w:spacing w:val="2"/>
          <w:kern w:val="0"/>
          <w:bdr w:val="single" w:sz="2" w:space="0" w:color="auto" w:frame="1"/>
          <w:lang w:val="en-RO" w:eastAsia="en-GB"/>
          <w14:ligatures w14:val="none"/>
        </w:rPr>
        <w:t>（</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EF2922">
        <w:rPr>
          <w:rFonts w:ascii="MS Gothic" w:eastAsia="MS Gothic" w:hAnsi="MS Gothic" w:cs="MS Gothic" w:hint="eastAsia"/>
          <w:color w:val="000000"/>
          <w:spacing w:val="2"/>
          <w:kern w:val="0"/>
          <w:bdr w:val="single" w:sz="2" w:space="0" w:color="auto" w:frame="1"/>
          <w:lang w:val="en-RO" w:eastAsia="en-GB"/>
          <w14:ligatures w14:val="none"/>
        </w:rPr>
        <w:t>立即停止使用，并采取措施消除干</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扰</w:t>
      </w:r>
      <w:r w:rsidRPr="00EF2922">
        <w:rPr>
          <w:rFonts w:ascii="MS Gothic" w:eastAsia="MS Gothic" w:hAnsi="MS Gothic" w:cs="MS Gothic" w:hint="eastAsia"/>
          <w:color w:val="000000"/>
          <w:spacing w:val="2"/>
          <w:kern w:val="0"/>
          <w:bdr w:val="single" w:sz="2" w:space="0" w:color="auto" w:frame="1"/>
          <w:lang w:val="en-RO" w:eastAsia="en-GB"/>
          <w14:ligatures w14:val="none"/>
        </w:rPr>
        <w:t>后方可</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继续</w:t>
      </w:r>
      <w:r w:rsidRPr="00EF2922">
        <w:rPr>
          <w:rFonts w:ascii="MS Gothic" w:eastAsia="MS Gothic" w:hAnsi="MS Gothic" w:cs="MS Gothic" w:hint="eastAsia"/>
          <w:color w:val="000000"/>
          <w:spacing w:val="2"/>
          <w:kern w:val="0"/>
          <w:bdr w:val="single" w:sz="2" w:space="0" w:color="auto" w:frame="1"/>
          <w:lang w:val="en-RO" w:eastAsia="en-GB"/>
          <w14:ligatures w14:val="none"/>
        </w:rPr>
        <w:t>使用</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599C7F6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S Gothic" w:eastAsia="MS Gothic" w:hAnsi="MS Gothic" w:cs="MS Gothic" w:hint="eastAsia"/>
          <w:color w:val="000000"/>
          <w:spacing w:val="2"/>
          <w:kern w:val="0"/>
          <w:bdr w:val="single" w:sz="2" w:space="0" w:color="auto" w:frame="1"/>
          <w:lang w:val="en-RO" w:eastAsia="en-GB"/>
          <w14:ligatures w14:val="none"/>
        </w:rPr>
        <w:t>（六）在航空器内和依据法律法</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EF2922">
        <w:rPr>
          <w:rFonts w:ascii="MS Gothic" w:eastAsia="MS Gothic" w:hAnsi="MS Gothic" w:cs="MS Gothic" w:hint="eastAsia"/>
          <w:color w:val="000000"/>
          <w:spacing w:val="2"/>
          <w:kern w:val="0"/>
          <w:bdr w:val="single" w:sz="2" w:space="0" w:color="auto" w:frame="1"/>
          <w:lang w:val="en-RO" w:eastAsia="en-GB"/>
          <w14:ligatures w14:val="none"/>
        </w:rPr>
        <w:t>、国家有关</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EF2922">
        <w:rPr>
          <w:rFonts w:ascii="MS Gothic" w:eastAsia="MS Gothic" w:hAnsi="MS Gothic" w:cs="MS Gothic" w:hint="eastAsia"/>
          <w:color w:val="000000"/>
          <w:spacing w:val="2"/>
          <w:kern w:val="0"/>
          <w:bdr w:val="single" w:sz="2" w:space="0" w:color="auto" w:frame="1"/>
          <w:lang w:val="en-RO" w:eastAsia="en-GB"/>
          <w14:ligatures w14:val="none"/>
        </w:rPr>
        <w:t>定、</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标</w:t>
      </w:r>
      <w:r w:rsidRPr="00EF2922">
        <w:rPr>
          <w:rFonts w:ascii="MS Gothic" w:eastAsia="MS Gothic" w:hAnsi="MS Gothic" w:cs="MS Gothic" w:hint="eastAsia"/>
          <w:color w:val="000000"/>
          <w:spacing w:val="2"/>
          <w:kern w:val="0"/>
          <w:bdr w:val="single" w:sz="2" w:space="0" w:color="auto" w:frame="1"/>
          <w:lang w:val="en-RO" w:eastAsia="en-GB"/>
          <w14:ligatures w14:val="none"/>
        </w:rPr>
        <w:t>准划</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w:t>
      </w:r>
      <w:r w:rsidRPr="00EF2922">
        <w:rPr>
          <w:rFonts w:ascii="MS Gothic" w:eastAsia="MS Gothic" w:hAnsi="MS Gothic" w:cs="MS Gothic" w:hint="eastAsia"/>
          <w:color w:val="000000"/>
          <w:spacing w:val="2"/>
          <w:kern w:val="0"/>
          <w:bdr w:val="single" w:sz="2" w:space="0" w:color="auto" w:frame="1"/>
          <w:lang w:val="en-RO" w:eastAsia="en-GB"/>
          <w14:ligatures w14:val="none"/>
        </w:rPr>
        <w:t>的射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EF2922">
        <w:rPr>
          <w:rFonts w:ascii="MS Gothic" w:eastAsia="MS Gothic" w:hAnsi="MS Gothic" w:cs="MS Gothic" w:hint="eastAsia"/>
          <w:color w:val="000000"/>
          <w:spacing w:val="2"/>
          <w:kern w:val="0"/>
          <w:bdr w:val="single" w:sz="2" w:space="0" w:color="auto" w:frame="1"/>
          <w:lang w:val="en-RO" w:eastAsia="en-GB"/>
          <w14:ligatures w14:val="none"/>
        </w:rPr>
        <w:t>天文台、气象雷达站、</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卫</w:t>
      </w:r>
      <w:r w:rsidRPr="00EF2922">
        <w:rPr>
          <w:rFonts w:ascii="MS Gothic" w:eastAsia="MS Gothic" w:hAnsi="MS Gothic" w:cs="MS Gothic" w:hint="eastAsia"/>
          <w:color w:val="000000"/>
          <w:spacing w:val="2"/>
          <w:kern w:val="0"/>
          <w:bdr w:val="single" w:sz="2" w:space="0" w:color="auto" w:frame="1"/>
          <w:lang w:val="en-RO" w:eastAsia="en-GB"/>
          <w14:ligatures w14:val="none"/>
        </w:rPr>
        <w:t>星地球站（含</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测</w:t>
      </w:r>
      <w:r w:rsidRPr="00EF2922">
        <w:rPr>
          <w:rFonts w:ascii="MS Gothic" w:eastAsia="MS Gothic" w:hAnsi="MS Gothic" w:cs="MS Gothic" w:hint="eastAsia"/>
          <w:color w:val="000000"/>
          <w:spacing w:val="2"/>
          <w:kern w:val="0"/>
          <w:bdr w:val="single" w:sz="2" w:space="0" w:color="auto" w:frame="1"/>
          <w:lang w:val="en-RO" w:eastAsia="en-GB"/>
          <w14:ligatures w14:val="none"/>
        </w:rPr>
        <w:t>控、</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测</w:t>
      </w:r>
      <w:r w:rsidRPr="00EF2922">
        <w:rPr>
          <w:rFonts w:ascii="MS Gothic" w:eastAsia="MS Gothic" w:hAnsi="MS Gothic" w:cs="MS Gothic" w:hint="eastAsia"/>
          <w:color w:val="000000"/>
          <w:spacing w:val="2"/>
          <w:kern w:val="0"/>
          <w:bdr w:val="single" w:sz="2" w:space="0" w:color="auto" w:frame="1"/>
          <w:lang w:val="en-RO" w:eastAsia="en-GB"/>
          <w14:ligatures w14:val="none"/>
        </w:rPr>
        <w:t>距、接收、</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导</w:t>
      </w:r>
      <w:r w:rsidRPr="00EF2922">
        <w:rPr>
          <w:rFonts w:ascii="MS Gothic" w:eastAsia="MS Gothic" w:hAnsi="MS Gothic" w:cs="MS Gothic" w:hint="eastAsia"/>
          <w:color w:val="000000"/>
          <w:spacing w:val="2"/>
          <w:kern w:val="0"/>
          <w:bdr w:val="single" w:sz="2" w:space="0" w:color="auto" w:frame="1"/>
          <w:lang w:val="en-RO" w:eastAsia="en-GB"/>
          <w14:ligatures w14:val="none"/>
        </w:rPr>
        <w:t>航站）等</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军</w:t>
      </w:r>
      <w:r w:rsidRPr="00EF2922">
        <w:rPr>
          <w:rFonts w:ascii="MS Gothic" w:eastAsia="MS Gothic" w:hAnsi="MS Gothic" w:cs="MS Gothic" w:hint="eastAsia"/>
          <w:color w:val="000000"/>
          <w:spacing w:val="2"/>
          <w:kern w:val="0"/>
          <w:bdr w:val="single" w:sz="2" w:space="0" w:color="auto" w:frame="1"/>
          <w:lang w:val="en-RO" w:eastAsia="en-GB"/>
          <w14:ligatures w14:val="none"/>
        </w:rPr>
        <w:t>民用无</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线电</w:t>
      </w:r>
      <w:r w:rsidRPr="00EF2922">
        <w:rPr>
          <w:rFonts w:ascii="MS Gothic" w:eastAsia="MS Gothic" w:hAnsi="MS Gothic" w:cs="MS Gothic" w:hint="eastAsia"/>
          <w:color w:val="000000"/>
          <w:spacing w:val="2"/>
          <w:kern w:val="0"/>
          <w:bdr w:val="single" w:sz="2" w:space="0" w:color="auto" w:frame="1"/>
          <w:lang w:val="en-RO" w:eastAsia="en-GB"/>
          <w14:ligatures w14:val="none"/>
        </w:rPr>
        <w:t>台（站）、机</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场</w:t>
      </w:r>
      <w:r w:rsidRPr="00EF2922">
        <w:rPr>
          <w:rFonts w:ascii="MS Gothic" w:eastAsia="MS Gothic" w:hAnsi="MS Gothic" w:cs="MS Gothic" w:hint="eastAsia"/>
          <w:color w:val="000000"/>
          <w:spacing w:val="2"/>
          <w:kern w:val="0"/>
          <w:bdr w:val="single" w:sz="2" w:space="0" w:color="auto" w:frame="1"/>
          <w:lang w:val="en-RO" w:eastAsia="en-GB"/>
          <w14:ligatures w14:val="none"/>
        </w:rPr>
        <w:lastRenderedPageBreak/>
        <w:t>等的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EF2922">
        <w:rPr>
          <w:rFonts w:ascii="MS Gothic" w:eastAsia="MS Gothic" w:hAnsi="MS Gothic" w:cs="MS Gothic" w:hint="eastAsia"/>
          <w:color w:val="000000"/>
          <w:spacing w:val="2"/>
          <w:kern w:val="0"/>
          <w:bdr w:val="single" w:sz="2" w:space="0" w:color="auto" w:frame="1"/>
          <w:lang w:val="en-RO" w:eastAsia="en-GB"/>
          <w14:ligatures w14:val="none"/>
        </w:rPr>
        <w:t>磁</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环</w:t>
      </w:r>
      <w:r w:rsidRPr="00EF2922">
        <w:rPr>
          <w:rFonts w:ascii="MS Gothic" w:eastAsia="MS Gothic" w:hAnsi="MS Gothic" w:cs="MS Gothic" w:hint="eastAsia"/>
          <w:color w:val="000000"/>
          <w:spacing w:val="2"/>
          <w:kern w:val="0"/>
          <w:bdr w:val="single" w:sz="2" w:space="0" w:color="auto" w:frame="1"/>
          <w:lang w:val="en-RO" w:eastAsia="en-GB"/>
          <w14:ligatures w14:val="none"/>
        </w:rPr>
        <w:t>境保</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护</w:t>
      </w:r>
      <w:r w:rsidRPr="00EF2922">
        <w:rPr>
          <w:rFonts w:ascii="MS Gothic" w:eastAsia="MS Gothic" w:hAnsi="MS Gothic" w:cs="MS Gothic" w:hint="eastAsia"/>
          <w:color w:val="000000"/>
          <w:spacing w:val="2"/>
          <w:kern w:val="0"/>
          <w:bdr w:val="single" w:sz="2" w:space="0" w:color="auto" w:frame="1"/>
          <w:lang w:val="en-RO" w:eastAsia="en-GB"/>
          <w14:ligatures w14:val="none"/>
        </w:rPr>
        <w:t>区域内使用微功率</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设备</w:t>
      </w:r>
      <w:r w:rsidRPr="00EF2922">
        <w:rPr>
          <w:rFonts w:ascii="MS Gothic" w:eastAsia="MS Gothic" w:hAnsi="MS Gothic" w:cs="MS Gothic" w:hint="eastAsia"/>
          <w:color w:val="000000"/>
          <w:spacing w:val="2"/>
          <w:kern w:val="0"/>
          <w:bdr w:val="single" w:sz="2" w:space="0" w:color="auto" w:frame="1"/>
          <w:lang w:val="en-RO" w:eastAsia="en-GB"/>
          <w14:ligatures w14:val="none"/>
        </w:rPr>
        <w:t>，</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应</w:t>
      </w:r>
      <w:r w:rsidRPr="00EF2922">
        <w:rPr>
          <w:rFonts w:ascii="MS Gothic" w:eastAsia="MS Gothic" w:hAnsi="MS Gothic" w:cs="MS Gothic" w:hint="eastAsia"/>
          <w:color w:val="000000"/>
          <w:spacing w:val="2"/>
          <w:kern w:val="0"/>
          <w:bdr w:val="single" w:sz="2" w:space="0" w:color="auto" w:frame="1"/>
          <w:lang w:val="en-RO" w:eastAsia="en-GB"/>
          <w14:ligatures w14:val="none"/>
        </w:rPr>
        <w:t>当遵守</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电</w:t>
      </w:r>
      <w:r w:rsidRPr="00EF2922">
        <w:rPr>
          <w:rFonts w:ascii="MS Gothic" w:eastAsia="MS Gothic" w:hAnsi="MS Gothic" w:cs="MS Gothic" w:hint="eastAsia"/>
          <w:color w:val="000000"/>
          <w:spacing w:val="2"/>
          <w:kern w:val="0"/>
          <w:bdr w:val="single" w:sz="2" w:space="0" w:color="auto" w:frame="1"/>
          <w:lang w:val="en-RO" w:eastAsia="en-GB"/>
          <w14:ligatures w14:val="none"/>
        </w:rPr>
        <w:t>磁</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环</w:t>
      </w:r>
      <w:r w:rsidRPr="00EF2922">
        <w:rPr>
          <w:rFonts w:ascii="MS Gothic" w:eastAsia="MS Gothic" w:hAnsi="MS Gothic" w:cs="MS Gothic" w:hint="eastAsia"/>
          <w:color w:val="000000"/>
          <w:spacing w:val="2"/>
          <w:kern w:val="0"/>
          <w:bdr w:val="single" w:sz="2" w:space="0" w:color="auto" w:frame="1"/>
          <w:lang w:val="en-RO" w:eastAsia="en-GB"/>
          <w14:ligatures w14:val="none"/>
        </w:rPr>
        <w:t>境保</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护</w:t>
      </w:r>
      <w:r w:rsidRPr="00EF2922">
        <w:rPr>
          <w:rFonts w:ascii="MS Gothic" w:eastAsia="MS Gothic" w:hAnsi="MS Gothic" w:cs="MS Gothic" w:hint="eastAsia"/>
          <w:color w:val="000000"/>
          <w:spacing w:val="2"/>
          <w:kern w:val="0"/>
          <w:bdr w:val="single" w:sz="2" w:space="0" w:color="auto" w:frame="1"/>
          <w:lang w:val="en-RO" w:eastAsia="en-GB"/>
          <w14:ligatures w14:val="none"/>
        </w:rPr>
        <w:t>及相关行</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业</w:t>
      </w:r>
      <w:r w:rsidRPr="00EF2922">
        <w:rPr>
          <w:rFonts w:ascii="MS Gothic" w:eastAsia="MS Gothic" w:hAnsi="MS Gothic" w:cs="MS Gothic" w:hint="eastAsia"/>
          <w:color w:val="000000"/>
          <w:spacing w:val="2"/>
          <w:kern w:val="0"/>
          <w:bdr w:val="single" w:sz="2" w:space="0" w:color="auto" w:frame="1"/>
          <w:lang w:val="en-RO" w:eastAsia="en-GB"/>
          <w14:ligatures w14:val="none"/>
        </w:rPr>
        <w:t>主管部</w:t>
      </w:r>
      <w:r w:rsidRPr="00EF2922">
        <w:rPr>
          <w:rFonts w:ascii="Yu Gothic" w:eastAsia="Yu Gothic" w:hAnsi="Yu Gothic" w:cs="Yu Gothic" w:hint="eastAsia"/>
          <w:color w:val="000000"/>
          <w:spacing w:val="2"/>
          <w:kern w:val="0"/>
          <w:bdr w:val="single" w:sz="2" w:space="0" w:color="auto" w:frame="1"/>
          <w:lang w:val="en-RO" w:eastAsia="en-GB"/>
          <w14:ligatures w14:val="none"/>
        </w:rPr>
        <w:t>门</w:t>
      </w:r>
      <w:r w:rsidRPr="00EF2922">
        <w:rPr>
          <w:rFonts w:ascii="MS Gothic" w:eastAsia="MS Gothic" w:hAnsi="MS Gothic" w:cs="MS Gothic" w:hint="eastAsia"/>
          <w:color w:val="000000"/>
          <w:spacing w:val="2"/>
          <w:kern w:val="0"/>
          <w:bdr w:val="single" w:sz="2" w:space="0" w:color="auto" w:frame="1"/>
          <w:lang w:val="en-RO" w:eastAsia="en-GB"/>
          <w14:ligatures w14:val="none"/>
        </w:rPr>
        <w:t>的</w:t>
      </w:r>
      <w:r w:rsidRPr="00EF2922">
        <w:rPr>
          <w:rFonts w:ascii="Microsoft JhengHei" w:eastAsia="Microsoft JhengHei" w:hAnsi="Microsoft JhengHei" w:cs="Microsoft JhengHei" w:hint="eastAsia"/>
          <w:color w:val="000000"/>
          <w:spacing w:val="2"/>
          <w:kern w:val="0"/>
          <w:bdr w:val="single" w:sz="2" w:space="0" w:color="auto" w:frame="1"/>
          <w:lang w:val="en-RO" w:eastAsia="en-GB"/>
          <w14:ligatures w14:val="none"/>
        </w:rPr>
        <w:t>规</w:t>
      </w:r>
      <w:r w:rsidRPr="00EF2922">
        <w:rPr>
          <w:rFonts w:ascii="MS Gothic" w:eastAsia="MS Gothic" w:hAnsi="MS Gothic" w:cs="MS Gothic" w:hint="eastAsia"/>
          <w:color w:val="000000"/>
          <w:spacing w:val="2"/>
          <w:kern w:val="0"/>
          <w:bdr w:val="single" w:sz="2" w:space="0" w:color="auto" w:frame="1"/>
          <w:lang w:val="en-RO" w:eastAsia="en-GB"/>
          <w14:ligatures w14:val="none"/>
        </w:rPr>
        <w:t>定</w:t>
      </w:r>
      <w:r w:rsidRPr="00EF2922">
        <w:rPr>
          <w:rFonts w:ascii="MS Gothic" w:eastAsia="MS Gothic" w:hAnsi="MS Gothic" w:cs="MS Gothic"/>
          <w:color w:val="000000"/>
          <w:spacing w:val="2"/>
          <w:kern w:val="0"/>
          <w:bdr w:val="single" w:sz="2" w:space="0" w:color="auto" w:frame="1"/>
          <w:lang w:val="en-RO" w:eastAsia="en-GB"/>
          <w14:ligatures w14:val="none"/>
        </w:rPr>
        <w:t>。</w:t>
      </w:r>
    </w:p>
    <w:p w14:paraId="63D06E0E"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spacing w:before="100" w:beforeAutospacing="1" w:after="100" w:afterAutospacing="1"/>
        <w:outlineLvl w:val="1"/>
        <w:rPr>
          <w:rFonts w:ascii="Impact" w:eastAsia="Times New Roman" w:hAnsi="Impact" w:cs="Arial"/>
          <w:b/>
          <w:bCs/>
          <w:caps/>
          <w:color w:val="000000"/>
          <w:spacing w:val="9"/>
          <w:kern w:val="0"/>
          <w:sz w:val="36"/>
          <w:szCs w:val="36"/>
          <w:lang w:val="en-RO" w:eastAsia="en-GB"/>
          <w14:ligatures w14:val="none"/>
        </w:rPr>
      </w:pPr>
      <w:r w:rsidRPr="00EF2922">
        <w:rPr>
          <w:rFonts w:ascii="Impact" w:eastAsia="Times New Roman" w:hAnsi="Impact" w:cs="Arial"/>
          <w:b/>
          <w:bCs/>
          <w:caps/>
          <w:color w:val="000000"/>
          <w:spacing w:val="9"/>
          <w:kern w:val="0"/>
          <w:sz w:val="36"/>
          <w:szCs w:val="36"/>
          <w:bdr w:val="single" w:sz="2" w:space="0" w:color="auto" w:frame="1"/>
          <w:lang w:val="en-RO" w:eastAsia="en-GB"/>
          <w14:ligatures w14:val="none"/>
        </w:rPr>
        <w:t>P9T</w:t>
      </w:r>
    </w:p>
    <w:p w14:paraId="4E1AEE8B"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Aprobat în conformitate cu prevederile Declarației de conformitate (DoC) din FCC Partea 15.</w:t>
      </w:r>
    </w:p>
    <w:p w14:paraId="7A3E3411"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Certificat conform FCC Partea 15 și FCC Partea 74.</w:t>
      </w:r>
    </w:p>
    <w:p w14:paraId="3F606DC2"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Certificat de ISED în Canada în conformitate cu RSS-123 și RSS-102.</w:t>
      </w:r>
    </w:p>
    <w:p w14:paraId="715F6F6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Certificat de ISED în Canada în conformitate cu RSS-210.</w:t>
      </w:r>
    </w:p>
    <w:p w14:paraId="7542EBD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Îndeplinește cerințele esențiale ale următoarelor directive europene:</w:t>
      </w:r>
    </w:p>
    <w:p w14:paraId="235F3E66" w14:textId="77777777" w:rsidR="00EF2922" w:rsidRPr="00EF2922" w:rsidRDefault="00EF2922" w:rsidP="00EF2922">
      <w:pPr>
        <w:numPr>
          <w:ilvl w:val="0"/>
          <w:numId w:val="2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Directiva DEEE 2012/19/UE, astfel cum a fost modificată prin 2008/34/CE</w:t>
      </w:r>
    </w:p>
    <w:p w14:paraId="17E9A30D" w14:textId="77777777" w:rsidR="00EF2922" w:rsidRPr="00EF2922" w:rsidRDefault="00EF2922" w:rsidP="00EF2922">
      <w:pPr>
        <w:numPr>
          <w:ilvl w:val="0"/>
          <w:numId w:val="24"/>
        </w:numPr>
        <w:pBdr>
          <w:top w:val="single" w:sz="2" w:space="0" w:color="auto"/>
          <w:left w:val="single" w:sz="2" w:space="2" w:color="auto"/>
          <w:bottom w:val="single" w:sz="2" w:space="0" w:color="auto"/>
          <w:right w:val="single" w:sz="2" w:space="0" w:color="auto"/>
        </w:pBdr>
        <w:shd w:val="clear" w:color="auto" w:fill="FFFFFF"/>
        <w:spacing w:before="100" w:beforeAutospacing="1" w:after="100" w:afterAutospacing="1"/>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Directiva RoHS UE 2015/863</w:t>
      </w:r>
    </w:p>
    <w:p w14:paraId="7920F4F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ind w:left="1320"/>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Notă:</w:t>
      </w:r>
      <w:r w:rsidRPr="00EF2922">
        <w:rPr>
          <w:rFonts w:ascii="Arial" w:eastAsia="Times New Roman" w:hAnsi="Arial" w:cs="Arial"/>
          <w:color w:val="000000"/>
          <w:spacing w:val="2"/>
          <w:kern w:val="0"/>
          <w:bdr w:val="single" w:sz="2" w:space="0" w:color="auto" w:frame="1"/>
          <w:lang w:val="en-RO" w:eastAsia="en-GB"/>
          <w14:ligatures w14:val="none"/>
        </w:rPr>
        <w:t> Vă rugăm să urmați schema regională de reciclare pentru baterii și deșeuri electronice</w:t>
      </w:r>
    </w:p>
    <w:p w14:paraId="0061F635"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EF2922">
        <w:rPr>
          <w:rFonts w:ascii="Arial" w:eastAsia="Times New Roman" w:hAnsi="Arial" w:cs="Arial"/>
          <w:color w:val="000000"/>
          <w:kern w:val="0"/>
          <w:bdr w:val="single" w:sz="2" w:space="0" w:color="auto" w:frame="1"/>
          <w:lang w:val="en-RO" w:eastAsia="en-GB"/>
          <w14:ligatures w14:val="none"/>
        </w:rPr>
        <w:t>Notificare CE:</w:t>
      </w:r>
    </w:p>
    <w:p w14:paraId="492F005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Prin prezenta, Shure Incorporated declară că acest produs cu marcaj CE a fost considerat conform cu cerințele Uniunii Europene. Textul integral al declarației de conformitate UE este disponibil la următorul site: </w:t>
      </w: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HYPERLINK "https://www.shure.com/en-EU/support/declarations-of-conformity"</w:instrText>
      </w:r>
      <w:r w:rsidRPr="00EF2922">
        <w:rPr>
          <w:rFonts w:ascii="Arial" w:eastAsia="Times New Roman" w:hAnsi="Arial" w:cs="Arial"/>
          <w:color w:val="000000"/>
          <w:spacing w:val="2"/>
          <w:kern w:val="0"/>
          <w:lang w:val="en-RO" w:eastAsia="en-GB"/>
          <w14:ligatures w14:val="none"/>
        </w:rPr>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color w:val="0000FF"/>
          <w:spacing w:val="2"/>
          <w:kern w:val="0"/>
          <w:u w:val="single"/>
          <w:bdr w:val="single" w:sz="2" w:space="0" w:color="auto" w:frame="1"/>
          <w:lang w:val="en-RO" w:eastAsia="en-GB"/>
          <w14:ligatures w14:val="none"/>
        </w:rPr>
        <w:t>https://www.shure.com/en-EU/support/declarations-of-conformity</w:t>
      </w:r>
      <w:r w:rsidRPr="00EF2922">
        <w:rPr>
          <w:rFonts w:ascii="Arial" w:eastAsia="Times New Roman" w:hAnsi="Arial" w:cs="Arial"/>
          <w:color w:val="000000"/>
          <w:spacing w:val="2"/>
          <w:kern w:val="0"/>
          <w:lang w:val="en-RO" w:eastAsia="en-GB"/>
          <w14:ligatures w14:val="none"/>
        </w:rPr>
        <w:fldChar w:fldCharType="end"/>
      </w:r>
      <w:r w:rsidRPr="00EF2922">
        <w:rPr>
          <w:rFonts w:ascii="Arial" w:eastAsia="Times New Roman" w:hAnsi="Arial" w:cs="Arial"/>
          <w:color w:val="000000"/>
          <w:spacing w:val="2"/>
          <w:kern w:val="0"/>
          <w:bdr w:val="single" w:sz="2" w:space="0" w:color="auto" w:frame="1"/>
          <w:lang w:val="en-RO" w:eastAsia="en-GB"/>
          <w14:ligatures w14:val="none"/>
        </w:rPr>
        <w:t> .</w:t>
      </w:r>
    </w:p>
    <w:p w14:paraId="2B2C95B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Importator european autorizat:</w:t>
      </w:r>
    </w:p>
    <w:p w14:paraId="6879929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Shure Europe GmbH</w:t>
      </w:r>
    </w:p>
    <w:p w14:paraId="1AF941F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Departament: Conformitate Globală</w:t>
      </w:r>
    </w:p>
    <w:p w14:paraId="6763459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Jakob-Dieffenbacher-Str. 12</w:t>
      </w:r>
    </w:p>
    <w:p w14:paraId="66709A0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75031 Eppingen, Germania</w:t>
      </w:r>
    </w:p>
    <w:p w14:paraId="08D2BE6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Telefon: +49-7262-92 49 0</w:t>
      </w:r>
    </w:p>
    <w:p w14:paraId="17DFAC3F"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Fax: +49-7262-92 49 11 4</w:t>
      </w:r>
    </w:p>
    <w:p w14:paraId="7ADFA827"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E-mail: EMEAsupport@shure.de</w:t>
      </w:r>
    </w:p>
    <w:p w14:paraId="7142D401"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EF2922">
        <w:rPr>
          <w:rFonts w:ascii="Arial" w:eastAsia="Times New Roman" w:hAnsi="Arial" w:cs="Arial"/>
          <w:color w:val="000000"/>
          <w:kern w:val="0"/>
          <w:bdr w:val="single" w:sz="2" w:space="0" w:color="auto" w:frame="1"/>
          <w:lang w:val="en-RO" w:eastAsia="en-GB"/>
          <w14:ligatures w14:val="none"/>
        </w:rPr>
        <w:t>Notificare UKCA:</w:t>
      </w:r>
    </w:p>
    <w:p w14:paraId="2BCC238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lastRenderedPageBreak/>
        <w:t>Prin prezenta, Shure Incorporated declară că acest produs cu marcaj UKCA a fost considerat în conformitate cu cerințele UKCA. Textul integral al declarației de conformitate din Regatul Unit este disponibil la următorul site: </w:t>
      </w:r>
      <w:r w:rsidRPr="00EF2922">
        <w:rPr>
          <w:rFonts w:ascii="Arial" w:eastAsia="Times New Roman" w:hAnsi="Arial" w:cs="Arial"/>
          <w:color w:val="000000"/>
          <w:spacing w:val="2"/>
          <w:kern w:val="0"/>
          <w:lang w:val="en-RO" w:eastAsia="en-GB"/>
          <w14:ligatures w14:val="none"/>
        </w:rPr>
        <w:fldChar w:fldCharType="begin"/>
      </w:r>
      <w:r w:rsidRPr="00EF2922">
        <w:rPr>
          <w:rFonts w:ascii="Arial" w:eastAsia="Times New Roman" w:hAnsi="Arial" w:cs="Arial"/>
          <w:color w:val="000000"/>
          <w:spacing w:val="2"/>
          <w:kern w:val="0"/>
          <w:lang w:val="en-RO" w:eastAsia="en-GB"/>
          <w14:ligatures w14:val="none"/>
        </w:rPr>
        <w:instrText>HYPERLINK "https://www.shure.com/en-GB/support/declarations-of-conformity"</w:instrText>
      </w:r>
      <w:r w:rsidRPr="00EF2922">
        <w:rPr>
          <w:rFonts w:ascii="Arial" w:eastAsia="Times New Roman" w:hAnsi="Arial" w:cs="Arial"/>
          <w:color w:val="000000"/>
          <w:spacing w:val="2"/>
          <w:kern w:val="0"/>
          <w:lang w:val="en-RO" w:eastAsia="en-GB"/>
          <w14:ligatures w14:val="none"/>
        </w:rPr>
      </w:r>
      <w:r w:rsidRPr="00EF2922">
        <w:rPr>
          <w:rFonts w:ascii="Arial" w:eastAsia="Times New Roman" w:hAnsi="Arial" w:cs="Arial"/>
          <w:color w:val="000000"/>
          <w:spacing w:val="2"/>
          <w:kern w:val="0"/>
          <w:lang w:val="en-RO" w:eastAsia="en-GB"/>
          <w14:ligatures w14:val="none"/>
        </w:rPr>
        <w:fldChar w:fldCharType="separate"/>
      </w:r>
      <w:r w:rsidRPr="00EF2922">
        <w:rPr>
          <w:rFonts w:ascii="Arial" w:eastAsia="Times New Roman" w:hAnsi="Arial" w:cs="Arial"/>
          <w:color w:val="0000FF"/>
          <w:spacing w:val="2"/>
          <w:kern w:val="0"/>
          <w:u w:val="single"/>
          <w:bdr w:val="single" w:sz="2" w:space="0" w:color="auto" w:frame="1"/>
          <w:lang w:val="en-RO" w:eastAsia="en-GB"/>
          <w14:ligatures w14:val="none"/>
        </w:rPr>
        <w:t>https://www.shure.com/en-GB/support/declarations-of-conformity</w:t>
      </w:r>
      <w:r w:rsidRPr="00EF2922">
        <w:rPr>
          <w:rFonts w:ascii="Arial" w:eastAsia="Times New Roman" w:hAnsi="Arial" w:cs="Arial"/>
          <w:color w:val="000000"/>
          <w:spacing w:val="2"/>
          <w:kern w:val="0"/>
          <w:lang w:val="en-RO" w:eastAsia="en-GB"/>
          <w14:ligatures w14:val="none"/>
        </w:rPr>
        <w:fldChar w:fldCharType="end"/>
      </w:r>
      <w:r w:rsidRPr="00EF2922">
        <w:rPr>
          <w:rFonts w:ascii="Arial" w:eastAsia="Times New Roman" w:hAnsi="Arial" w:cs="Arial"/>
          <w:color w:val="000000"/>
          <w:spacing w:val="2"/>
          <w:kern w:val="0"/>
          <w:bdr w:val="single" w:sz="2" w:space="0" w:color="auto" w:frame="1"/>
          <w:lang w:val="en-RO" w:eastAsia="en-GB"/>
          <w14:ligatures w14:val="none"/>
        </w:rPr>
        <w:t> .</w:t>
      </w:r>
    </w:p>
    <w:p w14:paraId="517B9A94"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b/>
          <w:bCs/>
          <w:color w:val="000000"/>
          <w:spacing w:val="2"/>
          <w:kern w:val="0"/>
          <w:bdr w:val="single" w:sz="2" w:space="0" w:color="auto" w:frame="1"/>
          <w:lang w:val="en-RO" w:eastAsia="en-GB"/>
          <w14:ligatures w14:val="none"/>
        </w:rPr>
        <w:t>Importator/Reprezentant autorizat în Regatul Unit:</w:t>
      </w:r>
    </w:p>
    <w:p w14:paraId="0DE603E0"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Shure UK Limited</w:t>
      </w:r>
    </w:p>
    <w:p w14:paraId="4C2F4F43"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Unitatea 2, Centrul IO, Lea Road,</w:t>
      </w:r>
    </w:p>
    <w:p w14:paraId="4E00A19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Arial" w:eastAsia="Times New Roman" w:hAnsi="Arial" w:cs="Arial"/>
          <w:color w:val="000000"/>
          <w:spacing w:val="2"/>
          <w:kern w:val="0"/>
          <w:bdr w:val="single" w:sz="2" w:space="0" w:color="auto" w:frame="1"/>
          <w:lang w:val="en-RO" w:eastAsia="en-GB"/>
          <w14:ligatures w14:val="none"/>
        </w:rPr>
        <w:t>Waltham Abbey, Essex, EN9 1 AS, Regatul Unit</w:t>
      </w:r>
    </w:p>
    <w:p w14:paraId="09441F69" w14:textId="77777777" w:rsidR="00EF2922" w:rsidRPr="00EF2922" w:rsidRDefault="00EF2922" w:rsidP="00EF2922">
      <w:pPr>
        <w:pBdr>
          <w:top w:val="single" w:sz="2" w:space="0" w:color="auto"/>
          <w:left w:val="single" w:sz="2" w:space="0" w:color="auto"/>
          <w:bottom w:val="single" w:sz="2" w:space="0" w:color="auto"/>
          <w:right w:val="single" w:sz="2" w:space="0" w:color="auto"/>
        </w:pBdr>
        <w:shd w:val="clear" w:color="auto" w:fill="FFFFFF"/>
        <w:outlineLvl w:val="3"/>
        <w:rPr>
          <w:rFonts w:ascii="Arial" w:eastAsia="Times New Roman" w:hAnsi="Arial" w:cs="Arial"/>
          <w:color w:val="000000"/>
          <w:kern w:val="0"/>
          <w:lang w:val="en-RO" w:eastAsia="en-GB"/>
          <w14:ligatures w14:val="none"/>
        </w:rPr>
      </w:pPr>
      <w:r w:rsidRPr="00EF2922">
        <w:rPr>
          <w:rFonts w:ascii="Arial" w:eastAsia="Times New Roman" w:hAnsi="Arial" w:cs="Arial"/>
          <w:color w:val="000000"/>
          <w:kern w:val="0"/>
          <w:bdr w:val="single" w:sz="2" w:space="0" w:color="auto" w:frame="1"/>
          <w:lang w:val="en-RO" w:eastAsia="en-GB"/>
          <w14:ligatures w14:val="none"/>
        </w:rPr>
        <w:t>Notificare KCC</w:t>
      </w:r>
    </w:p>
    <w:p w14:paraId="1575B4C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해당</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무선설비는</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전파혼신</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가능성이</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있으므로</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인명안전과</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관련된</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서련된</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서</w:t>
      </w:r>
      <w:r w:rsidRPr="00EF2922">
        <w:rPr>
          <w:rFonts w:ascii="Arial" w:eastAsia="Times New Roman" w:hAnsi="Arial" w:cs="Arial"/>
          <w:color w:val="000000"/>
          <w:spacing w:val="2"/>
          <w:kern w:val="0"/>
          <w:bdr w:val="single" w:sz="2" w:space="0" w:color="auto" w:frame="1"/>
          <w:lang w:val="en-RO" w:eastAsia="en-GB"/>
          <w14:ligatures w14:val="none"/>
        </w:rPr>
        <w:t xml:space="preserve"> </w:t>
      </w:r>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이</w:t>
      </w:r>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있으므</w:t>
      </w:r>
      <w:r w:rsidRPr="00EF2922">
        <w:rPr>
          <w:rFonts w:ascii="Malgun Gothic" w:eastAsia="Malgun Gothic" w:hAnsi="Malgun Gothic" w:cs="Malgun Gothic"/>
          <w:color w:val="000000"/>
          <w:spacing w:val="2"/>
          <w:kern w:val="0"/>
          <w:bdr w:val="single" w:sz="2" w:space="0" w:color="auto" w:frame="1"/>
          <w:lang w:val="en-RO" w:eastAsia="en-GB"/>
          <w14:ligatures w14:val="none"/>
        </w:rPr>
        <w:t>로</w:t>
      </w:r>
      <w:proofErr w:type="spellEnd"/>
    </w:p>
    <w:p w14:paraId="5FA5ABAE"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이</w:t>
      </w:r>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기기는</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전파법에</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따라</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과학기술정보통신부장관의</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허가를</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받고</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운용하</w:t>
      </w:r>
      <w:proofErr w:type="spellEnd"/>
      <w:r w:rsidRPr="00EF2922">
        <w:rPr>
          <w:rFonts w:ascii="Arial" w:eastAsia="Times New Roman" w:hAnsi="Arial" w:cs="Arial"/>
          <w:color w:val="000000"/>
          <w:spacing w:val="2"/>
          <w:kern w:val="0"/>
          <w:bdr w:val="single" w:sz="2" w:space="0" w:color="auto" w:frame="1"/>
          <w:lang w:val="en-RO" w:eastAsia="en-GB"/>
          <w14:ligatures w14:val="none"/>
        </w:rPr>
        <w:t xml:space="preserve"> </w:t>
      </w:r>
      <w:proofErr w:type="spellStart"/>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야보통신부장관</w:t>
      </w:r>
      <w:r w:rsidRPr="00EF2922">
        <w:rPr>
          <w:rFonts w:ascii="Malgun Gothic" w:eastAsia="Malgun Gothic" w:hAnsi="Malgun Gothic" w:cs="Malgun Gothic"/>
          <w:color w:val="000000"/>
          <w:spacing w:val="2"/>
          <w:kern w:val="0"/>
          <w:bdr w:val="single" w:sz="2" w:space="0" w:color="auto" w:frame="1"/>
          <w:lang w:val="en-RO" w:eastAsia="en-GB"/>
          <w14:ligatures w14:val="none"/>
        </w:rPr>
        <w:t>의</w:t>
      </w:r>
      <w:proofErr w:type="spellEnd"/>
    </w:p>
    <w:p w14:paraId="71B82D8A"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低功率射頻器材技術規</w:t>
      </w:r>
      <w:r w:rsidRPr="00EF2922">
        <w:rPr>
          <w:rFonts w:ascii="MS Gothic" w:eastAsia="MS Gothic" w:hAnsi="MS Gothic" w:cs="MS Gothic"/>
          <w:color w:val="000000"/>
          <w:spacing w:val="2"/>
          <w:kern w:val="0"/>
          <w:bdr w:val="single" w:sz="2" w:space="0" w:color="auto" w:frame="1"/>
          <w:lang w:val="en-RO" w:eastAsia="en-GB"/>
          <w14:ligatures w14:val="none"/>
        </w:rPr>
        <w:t>範</w:t>
      </w:r>
      <w:proofErr w:type="spellEnd"/>
    </w:p>
    <w:p w14:paraId="41B80696"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取得審驗證明之低功率射頻器材，非經核准，公司、商號或使用者均不得核</w:t>
      </w:r>
      <w:r w:rsidRPr="00EF2922">
        <w:rPr>
          <w:rFonts w:ascii="MS Gothic" w:eastAsia="MS Gothic" w:hAnsi="MS Gothic" w:cs="MS Gothic"/>
          <w:color w:val="000000"/>
          <w:spacing w:val="2"/>
          <w:kern w:val="0"/>
          <w:bdr w:val="single" w:sz="2" w:space="0" w:color="auto" w:frame="1"/>
          <w:lang w:val="en-RO" w:eastAsia="en-GB"/>
          <w14:ligatures w14:val="none"/>
        </w:rPr>
        <w:t>准</w:t>
      </w:r>
      <w:proofErr w:type="spellEnd"/>
    </w:p>
    <w:p w14:paraId="4BE18148"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自變更頻率、加大功率或變更原設計之特性及功能。低功率射頻器材之低材</w:t>
      </w:r>
      <w:r w:rsidRPr="00EF2922">
        <w:rPr>
          <w:rFonts w:ascii="Malgun Gothic" w:eastAsia="Malgun Gothic" w:hAnsi="Malgun Gothic" w:cs="Malgun Gothic" w:hint="eastAsia"/>
          <w:color w:val="000000"/>
          <w:spacing w:val="2"/>
          <w:kern w:val="0"/>
          <w:bdr w:val="single" w:sz="2" w:space="0" w:color="auto" w:frame="1"/>
          <w:lang w:val="en-RO" w:eastAsia="en-GB"/>
          <w14:ligatures w14:val="none"/>
        </w:rPr>
        <w:t>䔨</w:t>
      </w:r>
      <w:r w:rsidRPr="00EF2922">
        <w:rPr>
          <w:rFonts w:ascii="MS Gothic" w:eastAsia="MS Gothic" w:hAnsi="MS Gothic" w:cs="MS Gothic"/>
          <w:color w:val="000000"/>
          <w:spacing w:val="2"/>
          <w:kern w:val="0"/>
          <w:bdr w:val="single" w:sz="2" w:space="0" w:color="auto" w:frame="1"/>
          <w:lang w:val="en-RO" w:eastAsia="en-GB"/>
          <w14:ligatures w14:val="none"/>
        </w:rPr>
        <w:t>之</w:t>
      </w:r>
      <w:proofErr w:type="spellEnd"/>
    </w:p>
    <w:p w14:paraId="25298A5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不得影響飛航安全及干擾合法通信；經發現有干擾現象時，應立即停用</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45ADD825"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改善至無干擾時方得繼續使用。前述合法通信，指依電信管理法規定作業之</w:t>
      </w:r>
      <w:r w:rsidRPr="00EF2922">
        <w:rPr>
          <w:rFonts w:ascii="MS Gothic" w:eastAsia="MS Gothic" w:hAnsi="MS Gothic" w:cs="MS Gothic"/>
          <w:color w:val="000000"/>
          <w:spacing w:val="2"/>
          <w:kern w:val="0"/>
          <w:bdr w:val="single" w:sz="2" w:space="0" w:color="auto" w:frame="1"/>
          <w:lang w:val="en-RO" w:eastAsia="en-GB"/>
          <w14:ligatures w14:val="none"/>
        </w:rPr>
        <w:t>業</w:t>
      </w:r>
      <w:proofErr w:type="spellEnd"/>
    </w:p>
    <w:p w14:paraId="3949CC6C"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無線電通信。低功率射頻器材須忍受合法通信或工業、科學及醫療用電</w:t>
      </w:r>
      <w:r w:rsidRPr="00EF2922">
        <w:rPr>
          <w:rFonts w:ascii="MS Gothic" w:eastAsia="MS Gothic" w:hAnsi="MS Gothic" w:cs="MS Gothic"/>
          <w:color w:val="000000"/>
          <w:spacing w:val="2"/>
          <w:kern w:val="0"/>
          <w:bdr w:val="single" w:sz="2" w:space="0" w:color="auto" w:frame="1"/>
          <w:lang w:val="en-RO" w:eastAsia="en-GB"/>
          <w14:ligatures w14:val="none"/>
        </w:rPr>
        <w:t>波</w:t>
      </w:r>
      <w:proofErr w:type="spellEnd"/>
    </w:p>
    <w:p w14:paraId="5F3421ED" w14:textId="77777777" w:rsidR="00EF2922" w:rsidRPr="00EF2922" w:rsidRDefault="00EF2922" w:rsidP="00EF2922">
      <w:pPr>
        <w:pBdr>
          <w:top w:val="single" w:sz="2" w:space="0" w:color="auto"/>
          <w:left w:val="single" w:sz="2" w:space="2" w:color="auto"/>
          <w:bottom w:val="single" w:sz="2" w:space="0" w:color="auto"/>
          <w:right w:val="single" w:sz="2" w:space="0" w:color="auto"/>
        </w:pBdr>
        <w:shd w:val="clear" w:color="auto" w:fill="FFFFFF"/>
        <w:spacing w:before="100" w:beforeAutospacing="1" w:after="45"/>
        <w:rPr>
          <w:rFonts w:ascii="Arial" w:eastAsia="Times New Roman" w:hAnsi="Arial" w:cs="Arial"/>
          <w:color w:val="000000"/>
          <w:spacing w:val="2"/>
          <w:kern w:val="0"/>
          <w:lang w:val="en-RO" w:eastAsia="en-GB"/>
          <w14:ligatures w14:val="none"/>
        </w:rPr>
      </w:pPr>
      <w:proofErr w:type="spellStart"/>
      <w:r w:rsidRPr="00EF2922">
        <w:rPr>
          <w:rFonts w:ascii="MS Gothic" w:eastAsia="MS Gothic" w:hAnsi="MS Gothic" w:cs="MS Gothic" w:hint="eastAsia"/>
          <w:color w:val="000000"/>
          <w:spacing w:val="2"/>
          <w:kern w:val="0"/>
          <w:bdr w:val="single" w:sz="2" w:space="0" w:color="auto" w:frame="1"/>
          <w:lang w:val="en-RO" w:eastAsia="en-GB"/>
          <w14:ligatures w14:val="none"/>
        </w:rPr>
        <w:t>射性電機設備之干擾</w:t>
      </w:r>
      <w:proofErr w:type="spellEnd"/>
      <w:r w:rsidRPr="00EF2922">
        <w:rPr>
          <w:rFonts w:ascii="MS Gothic" w:eastAsia="MS Gothic" w:hAnsi="MS Gothic" w:cs="MS Gothic"/>
          <w:color w:val="000000"/>
          <w:spacing w:val="2"/>
          <w:kern w:val="0"/>
          <w:bdr w:val="single" w:sz="2" w:space="0" w:color="auto" w:frame="1"/>
          <w:lang w:val="en-RO" w:eastAsia="en-GB"/>
          <w14:ligatures w14:val="none"/>
        </w:rPr>
        <w:t>。</w:t>
      </w:r>
    </w:p>
    <w:p w14:paraId="14CA1E68" w14:textId="77777777" w:rsidR="00EF3C06" w:rsidRDefault="00EF3C06"/>
    <w:sectPr w:rsidR="00EF3C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enlo">
    <w:panose1 w:val="020B0609030804020204"/>
    <w:charset w:val="00"/>
    <w:family w:val="modern"/>
    <w:pitch w:val="fixed"/>
    <w:sig w:usb0="E60022FF" w:usb1="D200F9FB" w:usb2="02000028" w:usb3="00000000" w:csb0="000001D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087" w:usb1="288F40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E6C"/>
    <w:multiLevelType w:val="multilevel"/>
    <w:tmpl w:val="63F0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14EC9"/>
    <w:multiLevelType w:val="multilevel"/>
    <w:tmpl w:val="72A24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609D4"/>
    <w:multiLevelType w:val="multilevel"/>
    <w:tmpl w:val="8DEA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D5899"/>
    <w:multiLevelType w:val="multilevel"/>
    <w:tmpl w:val="47E6B9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721F39"/>
    <w:multiLevelType w:val="multilevel"/>
    <w:tmpl w:val="2386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517C1A"/>
    <w:multiLevelType w:val="multilevel"/>
    <w:tmpl w:val="B00E8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5C5F8E"/>
    <w:multiLevelType w:val="multilevel"/>
    <w:tmpl w:val="42FC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EA33BB"/>
    <w:multiLevelType w:val="multilevel"/>
    <w:tmpl w:val="73A4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062B75"/>
    <w:multiLevelType w:val="multilevel"/>
    <w:tmpl w:val="B722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F90625"/>
    <w:multiLevelType w:val="multilevel"/>
    <w:tmpl w:val="BDBEC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4A2305"/>
    <w:multiLevelType w:val="multilevel"/>
    <w:tmpl w:val="5B1E2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962010"/>
    <w:multiLevelType w:val="multilevel"/>
    <w:tmpl w:val="5672A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BB6B31"/>
    <w:multiLevelType w:val="multilevel"/>
    <w:tmpl w:val="1F067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831B02"/>
    <w:multiLevelType w:val="multilevel"/>
    <w:tmpl w:val="80524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0F39D2"/>
    <w:multiLevelType w:val="multilevel"/>
    <w:tmpl w:val="CFD8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B740ED"/>
    <w:multiLevelType w:val="multilevel"/>
    <w:tmpl w:val="FD4E2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826D85"/>
    <w:multiLevelType w:val="multilevel"/>
    <w:tmpl w:val="AFD40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2866B4D"/>
    <w:multiLevelType w:val="multilevel"/>
    <w:tmpl w:val="64C0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6049A0"/>
    <w:multiLevelType w:val="multilevel"/>
    <w:tmpl w:val="A30E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626EE0"/>
    <w:multiLevelType w:val="multilevel"/>
    <w:tmpl w:val="C58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C205A9"/>
    <w:multiLevelType w:val="multilevel"/>
    <w:tmpl w:val="B14A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A43E63"/>
    <w:multiLevelType w:val="multilevel"/>
    <w:tmpl w:val="1460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5F05C9"/>
    <w:multiLevelType w:val="multilevel"/>
    <w:tmpl w:val="39A6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E510BD"/>
    <w:multiLevelType w:val="multilevel"/>
    <w:tmpl w:val="9008F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3686393">
    <w:abstractNumId w:val="5"/>
  </w:num>
  <w:num w:numId="2" w16cid:durableId="936450626">
    <w:abstractNumId w:val="16"/>
  </w:num>
  <w:num w:numId="3" w16cid:durableId="385297398">
    <w:abstractNumId w:val="2"/>
  </w:num>
  <w:num w:numId="4" w16cid:durableId="1674723512">
    <w:abstractNumId w:val="14"/>
  </w:num>
  <w:num w:numId="5" w16cid:durableId="1768425815">
    <w:abstractNumId w:val="0"/>
  </w:num>
  <w:num w:numId="6" w16cid:durableId="1771853659">
    <w:abstractNumId w:val="21"/>
  </w:num>
  <w:num w:numId="7" w16cid:durableId="1011761568">
    <w:abstractNumId w:val="1"/>
  </w:num>
  <w:num w:numId="8" w16cid:durableId="2115469020">
    <w:abstractNumId w:val="17"/>
  </w:num>
  <w:num w:numId="9" w16cid:durableId="476072795">
    <w:abstractNumId w:val="3"/>
  </w:num>
  <w:num w:numId="10" w16cid:durableId="2091584688">
    <w:abstractNumId w:val="8"/>
  </w:num>
  <w:num w:numId="11" w16cid:durableId="1344818266">
    <w:abstractNumId w:val="22"/>
  </w:num>
  <w:num w:numId="12" w16cid:durableId="1850872990">
    <w:abstractNumId w:val="15"/>
  </w:num>
  <w:num w:numId="13" w16cid:durableId="1084452491">
    <w:abstractNumId w:val="12"/>
  </w:num>
  <w:num w:numId="14" w16cid:durableId="310064217">
    <w:abstractNumId w:val="10"/>
  </w:num>
  <w:num w:numId="15" w16cid:durableId="179979569">
    <w:abstractNumId w:val="20"/>
  </w:num>
  <w:num w:numId="16" w16cid:durableId="1061366078">
    <w:abstractNumId w:val="7"/>
  </w:num>
  <w:num w:numId="17" w16cid:durableId="499085977">
    <w:abstractNumId w:val="23"/>
  </w:num>
  <w:num w:numId="18" w16cid:durableId="1388795232">
    <w:abstractNumId w:val="4"/>
  </w:num>
  <w:num w:numId="19" w16cid:durableId="977102977">
    <w:abstractNumId w:val="6"/>
  </w:num>
  <w:num w:numId="20" w16cid:durableId="2094013709">
    <w:abstractNumId w:val="19"/>
  </w:num>
  <w:num w:numId="21" w16cid:durableId="2140418926">
    <w:abstractNumId w:val="11"/>
  </w:num>
  <w:num w:numId="22" w16cid:durableId="1294747666">
    <w:abstractNumId w:val="13"/>
  </w:num>
  <w:num w:numId="23" w16cid:durableId="1865242638">
    <w:abstractNumId w:val="9"/>
  </w:num>
  <w:num w:numId="24" w16cid:durableId="4554111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22"/>
    <w:rsid w:val="00607705"/>
    <w:rsid w:val="00D04BE4"/>
    <w:rsid w:val="00DA6FE1"/>
    <w:rsid w:val="00EF2922"/>
    <w:rsid w:val="00EF3C06"/>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43342BC7"/>
  <w15:chartTrackingRefBased/>
  <w15:docId w15:val="{E1F75D13-D1C6-A046-A632-578BE64F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EF2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F2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F29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F29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29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29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29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29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29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922"/>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rsid w:val="00EF2922"/>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EF2922"/>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rsid w:val="00EF2922"/>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EF2922"/>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EF2922"/>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F2922"/>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F2922"/>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F2922"/>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F29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922"/>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F29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2922"/>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F29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2922"/>
    <w:rPr>
      <w:i/>
      <w:iCs/>
      <w:color w:val="404040" w:themeColor="text1" w:themeTint="BF"/>
      <w:lang w:val="en-US"/>
    </w:rPr>
  </w:style>
  <w:style w:type="paragraph" w:styleId="ListParagraph">
    <w:name w:val="List Paragraph"/>
    <w:basedOn w:val="Normal"/>
    <w:uiPriority w:val="34"/>
    <w:qFormat/>
    <w:rsid w:val="00EF2922"/>
    <w:pPr>
      <w:ind w:left="720"/>
      <w:contextualSpacing/>
    </w:pPr>
  </w:style>
  <w:style w:type="character" w:styleId="IntenseEmphasis">
    <w:name w:val="Intense Emphasis"/>
    <w:basedOn w:val="DefaultParagraphFont"/>
    <w:uiPriority w:val="21"/>
    <w:qFormat/>
    <w:rsid w:val="00EF2922"/>
    <w:rPr>
      <w:i/>
      <w:iCs/>
      <w:color w:val="2F5496" w:themeColor="accent1" w:themeShade="BF"/>
    </w:rPr>
  </w:style>
  <w:style w:type="paragraph" w:styleId="IntenseQuote">
    <w:name w:val="Intense Quote"/>
    <w:basedOn w:val="Normal"/>
    <w:next w:val="Normal"/>
    <w:link w:val="IntenseQuoteChar"/>
    <w:uiPriority w:val="30"/>
    <w:qFormat/>
    <w:rsid w:val="00EF2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2922"/>
    <w:rPr>
      <w:i/>
      <w:iCs/>
      <w:color w:val="2F5496" w:themeColor="accent1" w:themeShade="BF"/>
      <w:lang w:val="en-US"/>
    </w:rPr>
  </w:style>
  <w:style w:type="character" w:styleId="IntenseReference">
    <w:name w:val="Intense Reference"/>
    <w:basedOn w:val="DefaultParagraphFont"/>
    <w:uiPriority w:val="32"/>
    <w:qFormat/>
    <w:rsid w:val="00EF2922"/>
    <w:rPr>
      <w:b/>
      <w:bCs/>
      <w:smallCaps/>
      <w:color w:val="2F5496" w:themeColor="accent1" w:themeShade="BF"/>
      <w:spacing w:val="5"/>
    </w:rPr>
  </w:style>
  <w:style w:type="paragraph" w:customStyle="1" w:styleId="msonormal0">
    <w:name w:val="msonormal"/>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orderedrestart">
    <w:name w:val="p1_ordered_restar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ordered">
    <w:name w:val="p1_ordered"/>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figure">
    <w:name w:val="figure"/>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
    <w:name w:val="p1"/>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t1">
    <w:name w:val="t1"/>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bullet">
    <w:name w:val="p1_bulle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tipnote">
    <w:name w:val="p1_tip_note"/>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list">
    <w:name w:val="p1_lis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customStyle="1" w:styleId="uicontrol">
    <w:name w:val="uicontrol"/>
    <w:basedOn w:val="DefaultParagraphFont"/>
    <w:rsid w:val="00EF2922"/>
  </w:style>
  <w:style w:type="paragraph" w:customStyle="1" w:styleId="p2bullet">
    <w:name w:val="p2_bulle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3">
    <w:name w:val="p3"/>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termcallout">
    <w:name w:val="p1_defterm_callou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definitioncallout">
    <w:name w:val="p1_defdefinition_callout"/>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customStyle="1" w:styleId="menucascade">
    <w:name w:val="menucascade"/>
    <w:basedOn w:val="DefaultParagraphFont"/>
    <w:rsid w:val="00EF2922"/>
  </w:style>
  <w:style w:type="character" w:styleId="HTMLCode">
    <w:name w:val="HTML Code"/>
    <w:basedOn w:val="DefaultParagraphFont"/>
    <w:uiPriority w:val="99"/>
    <w:semiHidden/>
    <w:unhideWhenUsed/>
    <w:rsid w:val="00EF2922"/>
    <w:rPr>
      <w:rFonts w:ascii="Courier New" w:eastAsia="Times New Roman" w:hAnsi="Courier New" w:cs="Courier New"/>
      <w:sz w:val="20"/>
      <w:szCs w:val="20"/>
    </w:rPr>
  </w:style>
  <w:style w:type="paragraph" w:customStyle="1" w:styleId="p1defheadtermparameter">
    <w:name w:val="p1_defheadterm_parameter"/>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termparameter">
    <w:name w:val="p1_defterm_parameter"/>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definitionparameter">
    <w:name w:val="p1_defdefinition_parameter"/>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defheaddefinitionparameter">
    <w:name w:val="p1_defheaddefinition_parameter"/>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2tipnote">
    <w:name w:val="p2_tip_note"/>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2">
    <w:name w:val="p2"/>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p1tipcaution">
    <w:name w:val="p1_tip_caution"/>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1value">
    <w:name w:val="spec1_value"/>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1fn">
    <w:name w:val="spec1_fn"/>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paragraph" w:customStyle="1" w:styleId="spectextcond">
    <w:name w:val="spectext_cond"/>
    <w:basedOn w:val="Normal"/>
    <w:rsid w:val="00EF2922"/>
    <w:pPr>
      <w:spacing w:before="100" w:beforeAutospacing="1" w:after="100" w:afterAutospacing="1"/>
    </w:pPr>
    <w:rPr>
      <w:rFonts w:ascii="Times New Roman" w:eastAsia="Times New Roman" w:hAnsi="Times New Roman" w:cs="Times New Roman"/>
      <w:kern w:val="0"/>
      <w:lang w:val="en-RO" w:eastAsia="en-GB"/>
      <w14:ligatures w14:val="none"/>
    </w:rPr>
  </w:style>
  <w:style w:type="character" w:customStyle="1" w:styleId="term">
    <w:name w:val="term"/>
    <w:basedOn w:val="DefaultParagraphFont"/>
    <w:rsid w:val="00EF2922"/>
  </w:style>
  <w:style w:type="character" w:styleId="Hyperlink">
    <w:name w:val="Hyperlink"/>
    <w:basedOn w:val="DefaultParagraphFont"/>
    <w:uiPriority w:val="99"/>
    <w:semiHidden/>
    <w:unhideWhenUsed/>
    <w:rsid w:val="00EF2922"/>
    <w:rPr>
      <w:color w:val="0000FF"/>
      <w:u w:val="single"/>
    </w:rPr>
  </w:style>
  <w:style w:type="character" w:styleId="FollowedHyperlink">
    <w:name w:val="FollowedHyperlink"/>
    <w:basedOn w:val="DefaultParagraphFont"/>
    <w:uiPriority w:val="99"/>
    <w:semiHidden/>
    <w:unhideWhenUsed/>
    <w:rsid w:val="00EF292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7309</Words>
  <Characters>41662</Characters>
  <Application>Microsoft Office Word</Application>
  <DocSecurity>0</DocSecurity>
  <Lines>347</Lines>
  <Paragraphs>97</Paragraphs>
  <ScaleCrop>false</ScaleCrop>
  <Company/>
  <LinksUpToDate>false</LinksUpToDate>
  <CharactersWithSpaces>48874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Sound Sound</dc:creator>
  <cp:keywords/>
  <dc:description/>
  <cp:lastModifiedBy>Sound Sound</cp:lastModifiedBy>
  <cp:revision>1</cp:revision>
  <dcterms:created xsi:type="dcterms:W3CDTF">2026-05-04T11:39:00Z</dcterms:created>
  <dcterms:modified xsi:type="dcterms:W3CDTF">2026-05-04T11:39:00Z</dcterms:modified>
</cp:coreProperties>
</file>